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4" w:rsidRPr="005B52B6" w:rsidRDefault="00DA0F44" w:rsidP="00DA0F44">
      <w:pPr>
        <w:widowControl/>
        <w:spacing w:after="120" w:line="360" w:lineRule="auto"/>
        <w:outlineLvl w:val="1"/>
        <w:rPr>
          <w:rFonts w:ascii="Times New Roman" w:eastAsia="宋体" w:hAnsi="宋体" w:cs="宋体"/>
          <w:b/>
          <w:bCs/>
          <w:kern w:val="0"/>
          <w:sz w:val="28"/>
          <w:szCs w:val="28"/>
        </w:rPr>
      </w:pPr>
      <w:r w:rsidRPr="005B52B6">
        <w:rPr>
          <w:rFonts w:ascii="Times New Roman" w:eastAsia="宋体" w:hAnsi="宋体" w:cs="宋体" w:hint="eastAsia"/>
          <w:b/>
          <w:bCs/>
          <w:kern w:val="0"/>
          <w:sz w:val="28"/>
          <w:szCs w:val="28"/>
        </w:rPr>
        <w:t>技术需求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项目背景：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根据《关于稳步推进财政电子票据管理改革的试点方案》（财综[2017]32号）和《关于全面推行医疗收费电子票据管理改革的通知》</w:t>
      </w:r>
      <w:r w:rsidRPr="005B52B6">
        <w:rPr>
          <w:rFonts w:ascii="宋体" w:eastAsia="宋体" w:hAnsi="宋体" w:cs="宋体" w:hint="eastAsia"/>
          <w:b/>
          <w:kern w:val="0"/>
          <w:sz w:val="24"/>
          <w:szCs w:val="24"/>
        </w:rPr>
        <w:t>(江财综〔2019〕48)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文件要求，结合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鹤山市中医院医共体分院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情况实际，统一建设医疗电子票据管理平台，与医院收费系统和省财政电子票据系统对接，并针对医院使用情况提供小程序交付服务。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将针对医疗电子票据管理平台建设项目通过</w:t>
      </w:r>
      <w:r>
        <w:rPr>
          <w:rFonts w:ascii="宋体" w:eastAsia="宋体" w:hAnsi="宋体" w:cs="宋体" w:hint="eastAsia"/>
          <w:kern w:val="0"/>
          <w:sz w:val="24"/>
          <w:szCs w:val="24"/>
        </w:rPr>
        <w:t>院内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招标方式选择有实力的银行机构进行投资，由中标银行负责出资建设医疗电子票据管理平台。</w:t>
      </w:r>
    </w:p>
    <w:p w:rsidR="00DA0F44" w:rsidRPr="005B52B6" w:rsidRDefault="00DA0F44" w:rsidP="00DA0F44">
      <w:pPr>
        <w:widowControl/>
        <w:spacing w:line="360" w:lineRule="auto"/>
        <w:ind w:left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项目总投资：</w:t>
      </w:r>
    </w:p>
    <w:p w:rsidR="00DA0F44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项目本期计划安排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鹤山市中医院医共体4家分院，共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个医疗机构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开展推行医疗收费电子票据管理改革工作，本项目总投资额约</w:t>
      </w:r>
      <w:r>
        <w:rPr>
          <w:rFonts w:ascii="宋体" w:eastAsia="宋体" w:hAnsi="宋体" w:cs="宋体"/>
          <w:kern w:val="0"/>
          <w:sz w:val="24"/>
          <w:szCs w:val="24"/>
        </w:rPr>
        <w:t>50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万元。名单及投资概算如下：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表1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3015"/>
        <w:gridCol w:w="1454"/>
        <w:gridCol w:w="1586"/>
        <w:gridCol w:w="1430"/>
      </w:tblGrid>
      <w:tr w:rsidR="00DA0F44" w:rsidRPr="005B52B6" w:rsidTr="00EC3D93">
        <w:trPr>
          <w:trHeight w:val="8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电子票据</w:t>
            </w:r>
          </w:p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</w:t>
            </w: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件投资</w:t>
            </w:r>
          </w:p>
        </w:tc>
        <w:tc>
          <w:tcPr>
            <w:tcW w:w="1586" w:type="dxa"/>
            <w:vAlign w:val="center"/>
          </w:tcPr>
          <w:p w:rsidR="00DA0F44" w:rsidRPr="0025657E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25657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接口及联调</w:t>
            </w:r>
          </w:p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657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改造投资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（包含一年维保+h</w:t>
            </w:r>
            <w:r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is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改造费用）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总额（万元）</w:t>
            </w:r>
          </w:p>
        </w:tc>
      </w:tr>
      <w:tr w:rsidR="00DA0F44" w:rsidRPr="005B52B6" w:rsidTr="00EC3D93">
        <w:trPr>
          <w:trHeight w:val="5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2"/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鹤山市龙口镇卫生院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48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鹤山市古劳镇卫生院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98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鹤山市址山镇卫生院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561"/>
          <w:jc w:val="center"/>
        </w:trPr>
        <w:tc>
          <w:tcPr>
            <w:tcW w:w="81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15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A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鹤山市双合镇卫生院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DA0F44" w:rsidRPr="005B52B6" w:rsidTr="00EC3D93">
        <w:trPr>
          <w:trHeight w:val="478"/>
          <w:jc w:val="center"/>
        </w:trPr>
        <w:tc>
          <w:tcPr>
            <w:tcW w:w="3825" w:type="dxa"/>
            <w:gridSpan w:val="2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5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4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A0F44" w:rsidRPr="005B52B6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</w:tr>
    </w:tbl>
    <w:bookmarkEnd w:id="0"/>
    <w:p w:rsidR="00DA0F44" w:rsidRPr="005B52B6" w:rsidRDefault="00DA0F44" w:rsidP="00DA0F44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总投资预算约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50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万，最终以医疗电子票据管理平台实际建设费用为准。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服务内容及期限：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中标人需承担医疗电子票据管理平台建设所有费用，包括一次性项目投入费用和服务期限内的平台维护费、管理费等。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服务期限内由中标人为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家医疗卫生机构</w:t>
      </w:r>
      <w:r>
        <w:rPr>
          <w:rFonts w:ascii="宋体" w:eastAsia="宋体" w:hAnsi="宋体" w:cs="宋体" w:hint="eastAsia"/>
          <w:kern w:val="0"/>
          <w:sz w:val="24"/>
          <w:szCs w:val="24"/>
        </w:rPr>
        <w:t>及鹤山市中医院（负责医共体分院结算）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开立医疗业务收入资金结算账户。所有开户均应免收开户费、账户管理费、网银UKEY工本费、对公大额提现手续费，并免收江门同城转账费用。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中标人须指定专人负责</w:t>
      </w:r>
      <w:r>
        <w:rPr>
          <w:rFonts w:ascii="宋体" w:eastAsia="宋体" w:hAnsi="宋体" w:cs="宋体"/>
          <w:kern w:val="0"/>
          <w:sz w:val="24"/>
          <w:szCs w:val="24"/>
        </w:rPr>
        <w:t>4家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医疗卫生机构的资金银行结算等业务的日常跟踪服务工作，并派专人负责为各医疗卫生机构送递、收取相关票据（账户回单、 对账单和取拨款单据等），中标人服务期内每月需将上月资金结算账户明细情况（包括归集、拨付、结余、 利息等）拨款回单以及对账单报送</w:t>
      </w:r>
      <w:r>
        <w:rPr>
          <w:rFonts w:ascii="宋体" w:eastAsia="宋体" w:hAnsi="宋体" w:cs="宋体" w:hint="eastAsia"/>
          <w:kern w:val="0"/>
          <w:sz w:val="24"/>
          <w:szCs w:val="24"/>
        </w:rPr>
        <w:t>鹤山市中医院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中标人须保证办理</w:t>
      </w:r>
      <w:r>
        <w:rPr>
          <w:rFonts w:ascii="宋体" w:eastAsia="宋体" w:hAnsi="宋体" w:cs="宋体"/>
          <w:kern w:val="0"/>
          <w:sz w:val="24"/>
          <w:szCs w:val="24"/>
        </w:rPr>
        <w:t>4家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医疗卫生机构资金代理结算业务按时、足额、安全、准确，并提供精细化服务。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本期服务有效期：本期服务有效期为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3年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，从合同签订生效之日起开始计算</w:t>
      </w:r>
    </w:p>
    <w:p w:rsidR="00DA0F44" w:rsidRPr="005B52B6" w:rsidRDefault="00DA0F44" w:rsidP="00DA0F44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在实施本项目过程中，中标人必须接受国家审计部门和采购人监督。</w:t>
      </w:r>
    </w:p>
    <w:p w:rsidR="00DA0F44" w:rsidRPr="005B52B6" w:rsidRDefault="00DA0F44" w:rsidP="00DA0F44">
      <w:pPr>
        <w:widowControl/>
        <w:spacing w:line="360" w:lineRule="auto"/>
        <w:ind w:left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（四）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平台建设要求：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为满足医院电子票据改革的需要，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严格遵循财政部的财政电子票据管理改革的标准规范和业务要求，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实现对电子票据的赋码、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开具、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传输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、查验、入账、归档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等流程的管理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，需要进行以下内容的建设：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建设医疗电子票据管理系统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建设医疗电子票据管理系统，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分别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部署在</w:t>
      </w:r>
      <w:r>
        <w:rPr>
          <w:rFonts w:ascii="宋体" w:eastAsia="宋体" w:hAnsi="宋体" w:cs="宋体" w:hint="eastAsia"/>
          <w:kern w:val="0"/>
          <w:sz w:val="24"/>
          <w:szCs w:val="24"/>
        </w:rPr>
        <w:t>各医疗卫生机构（表1名单）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，实现医疗票据的申领、分发、开具、存档管理，满足医院财政电子票据管理的基础需求。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与医院收费系统对接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医疗电子票据管理系统与基层医院收费系统、其他医院自建收费系统对接，实现接口开票、换票、冲红等业务。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与省财政电子票据系统对接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医疗电子票据管理系统与省财政电子票据系统对接，实现电子票据的赋码、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开具、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传输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、查验、入账、归档</w:t>
      </w: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等流程。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建设医院电子票据交付渠道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 xml:space="preserve">针对医院用的情况提供小程序交付服务，以及为医院公众号提供电子票据h5页面展示，交款人可通过这些互联网渠道快速获取电子票据。 </w:t>
      </w:r>
    </w:p>
    <w:p w:rsidR="00DA0F44" w:rsidRPr="005B52B6" w:rsidRDefault="00DA0F44" w:rsidP="00DA0F4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5.</w:t>
      </w:r>
      <w:r w:rsidRPr="005B52B6"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系统培训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Cs w:val="20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对各医院进行医疗电子票据业务及系统操作进行培训。</w:t>
      </w:r>
    </w:p>
    <w:p w:rsidR="00DA0F44" w:rsidRPr="005B52B6" w:rsidRDefault="00DA0F44" w:rsidP="00DA0F44">
      <w:pPr>
        <w:widowControl/>
        <w:spacing w:line="360" w:lineRule="auto"/>
        <w:ind w:firstLineChars="147" w:firstLine="354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（五）</w:t>
      </w:r>
      <w:r w:rsidRPr="005B52B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平台建设技术参数：</w:t>
      </w:r>
    </w:p>
    <w:p w:rsidR="00DA0F44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5B52B6">
        <w:rPr>
          <w:rFonts w:ascii="宋体" w:eastAsia="宋体" w:hAnsi="宋体" w:cs="宋体" w:hint="eastAsia"/>
          <w:kern w:val="0"/>
          <w:sz w:val="24"/>
          <w:szCs w:val="24"/>
        </w:rPr>
        <w:t>凡标示有“▲”符号的</w:t>
      </w:r>
      <w:r w:rsidRPr="005B52B6">
        <w:rPr>
          <w:rFonts w:ascii="宋体" w:eastAsia="宋体" w:hAnsi="宋体" w:cs="宋体" w:hint="eastAsia"/>
          <w:bCs/>
          <w:kern w:val="0"/>
          <w:sz w:val="24"/>
          <w:szCs w:val="24"/>
        </w:rPr>
        <w:t>条款为重要技术参数或服务要求，但不作为投标无效条款。</w:t>
      </w:r>
    </w:p>
    <w:p w:rsidR="00DA0F44" w:rsidRPr="005B52B6" w:rsidRDefault="00DA0F44" w:rsidP="00DA0F44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Cs w:val="20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                          表2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1470"/>
        <w:gridCol w:w="5398"/>
        <w:gridCol w:w="851"/>
        <w:gridCol w:w="992"/>
      </w:tblGrid>
      <w:tr w:rsidR="00DA0F44" w:rsidRPr="008F2CE1" w:rsidTr="00EC3D93">
        <w:trPr>
          <w:trHeight w:val="580"/>
        </w:trPr>
        <w:tc>
          <w:tcPr>
            <w:tcW w:w="9224" w:type="dxa"/>
            <w:gridSpan w:val="5"/>
            <w:tcBorders>
              <w:tl2br w:val="nil"/>
              <w:tr2bl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一、软件（实施服务）              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功能描述/参数要求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A0F44" w:rsidRPr="008F2CE1" w:rsidTr="00EC3D93">
        <w:trPr>
          <w:trHeight w:val="439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鹤山市龙口镇卫生院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67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鹤山市古劳镇卫生院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396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tabs>
                <w:tab w:val="left" w:pos="424"/>
                <w:tab w:val="center" w:pos="3317"/>
              </w:tabs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鹤山市址山镇卫生院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鹤山市双合镇卫生院</w:t>
            </w: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医疗电子票据管理平台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0F44" w:rsidRPr="008F2CE1" w:rsidTr="00EC3D93">
        <w:trPr>
          <w:trHeight w:val="90"/>
        </w:trPr>
        <w:tc>
          <w:tcPr>
            <w:tcW w:w="513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98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tabs>
                <w:tab w:val="left" w:pos="424"/>
                <w:tab w:val="center" w:pos="3317"/>
              </w:tabs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HIS系统二次开发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DA0F44" w:rsidRPr="008F2CE1" w:rsidRDefault="00DA0F44" w:rsidP="00EC3D9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2C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A0F44" w:rsidRPr="008F2CE1" w:rsidRDefault="00DA0F44" w:rsidP="00DA0F44">
      <w:pPr>
        <w:spacing w:line="360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8C5818" w:rsidRDefault="008C5818"/>
    <w:sectPr w:rsidR="008C5818" w:rsidSect="008C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3E" w:rsidRDefault="000B123E" w:rsidP="00C36781">
      <w:r>
        <w:separator/>
      </w:r>
    </w:p>
  </w:endnote>
  <w:endnote w:type="continuationSeparator" w:id="1">
    <w:p w:rsidR="000B123E" w:rsidRDefault="000B123E" w:rsidP="00C3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3E" w:rsidRDefault="000B123E" w:rsidP="00C36781">
      <w:r>
        <w:separator/>
      </w:r>
    </w:p>
  </w:footnote>
  <w:footnote w:type="continuationSeparator" w:id="1">
    <w:p w:rsidR="000B123E" w:rsidRDefault="000B123E" w:rsidP="00C3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DFC"/>
    <w:multiLevelType w:val="singleLevel"/>
    <w:tmpl w:val="418B2DF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F44"/>
    <w:rsid w:val="000B123E"/>
    <w:rsid w:val="001C0B59"/>
    <w:rsid w:val="004416C7"/>
    <w:rsid w:val="008C5818"/>
    <w:rsid w:val="00C36781"/>
    <w:rsid w:val="00DA0F44"/>
    <w:rsid w:val="00F0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41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16C7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441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16C7"/>
    <w:rPr>
      <w:kern w:val="2"/>
      <w:sz w:val="18"/>
      <w:szCs w:val="18"/>
    </w:rPr>
  </w:style>
  <w:style w:type="paragraph" w:styleId="a5">
    <w:name w:val="Body Text"/>
    <w:basedOn w:val="a"/>
    <w:link w:val="Char1"/>
    <w:qFormat/>
    <w:rsid w:val="004416C7"/>
    <w:pPr>
      <w:spacing w:after="120"/>
    </w:pPr>
  </w:style>
  <w:style w:type="character" w:customStyle="1" w:styleId="Char1">
    <w:name w:val="正文文本 Char"/>
    <w:basedOn w:val="a0"/>
    <w:link w:val="a5"/>
    <w:rsid w:val="004416C7"/>
    <w:rPr>
      <w:kern w:val="2"/>
      <w:sz w:val="21"/>
      <w:szCs w:val="24"/>
    </w:rPr>
  </w:style>
  <w:style w:type="character" w:styleId="a6">
    <w:name w:val="Strong"/>
    <w:basedOn w:val="a0"/>
    <w:qFormat/>
    <w:rsid w:val="004416C7"/>
    <w:rPr>
      <w:b/>
      <w:bCs/>
    </w:rPr>
  </w:style>
  <w:style w:type="paragraph" w:styleId="a7">
    <w:name w:val="Normal (Web)"/>
    <w:basedOn w:val="a"/>
    <w:qFormat/>
    <w:rsid w:val="00441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2"/>
    <w:qFormat/>
    <w:rsid w:val="004416C7"/>
    <w:rPr>
      <w:sz w:val="18"/>
      <w:szCs w:val="18"/>
    </w:rPr>
  </w:style>
  <w:style w:type="character" w:customStyle="1" w:styleId="Char2">
    <w:name w:val="批注框文本 Char"/>
    <w:basedOn w:val="a0"/>
    <w:link w:val="a8"/>
    <w:qFormat/>
    <w:rsid w:val="004416C7"/>
    <w:rPr>
      <w:kern w:val="2"/>
      <w:sz w:val="18"/>
      <w:szCs w:val="18"/>
    </w:rPr>
  </w:style>
  <w:style w:type="character" w:customStyle="1" w:styleId="highlight1">
    <w:name w:val="highlight1"/>
    <w:basedOn w:val="a0"/>
    <w:qFormat/>
    <w:rsid w:val="004416C7"/>
    <w:rPr>
      <w:sz w:val="21"/>
      <w:szCs w:val="21"/>
    </w:rPr>
  </w:style>
  <w:style w:type="character" w:customStyle="1" w:styleId="NormalCharacter">
    <w:name w:val="NormalCharacter"/>
    <w:semiHidden/>
    <w:qFormat/>
    <w:rsid w:val="0044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252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刘炎彬</dc:creator>
  <cp:lastModifiedBy>刘炎彬</cp:lastModifiedBy>
  <cp:revision>2</cp:revision>
  <dcterms:created xsi:type="dcterms:W3CDTF">2022-05-19T12:55:00Z</dcterms:created>
  <dcterms:modified xsi:type="dcterms:W3CDTF">2022-05-29T07:33:00Z</dcterms:modified>
</cp:coreProperties>
</file>