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Arial"/>
          <w:color w:val="auto"/>
          <w:sz w:val="44"/>
          <w:szCs w:val="44"/>
          <w:shd w:val="clear" w:color="auto" w:fill="FFFFFF"/>
          <w:lang w:val="en-US" w:eastAsia="zh-CN"/>
        </w:rPr>
      </w:pPr>
      <w:r>
        <w:rPr>
          <w:rFonts w:hint="eastAsia" w:ascii="方正小标宋_GBK" w:hAnsi="方正小标宋_GBK" w:eastAsia="方正小标宋_GBK" w:cs="Arial"/>
          <w:color w:val="auto"/>
          <w:sz w:val="44"/>
          <w:szCs w:val="44"/>
          <w:shd w:val="clear" w:color="auto" w:fill="FFFFFF"/>
          <w:lang w:val="en-US" w:eastAsia="zh-CN"/>
        </w:rPr>
        <w:t>2024-2026年度</w:t>
      </w:r>
    </w:p>
    <w:p>
      <w:pPr>
        <w:jc w:val="center"/>
        <w:rPr>
          <w:rFonts w:ascii="方正小标宋_GBK" w:hAnsi="方正小标宋_GBK" w:eastAsia="方正小标宋_GBK" w:cs="Arial"/>
          <w:color w:val="auto"/>
          <w:sz w:val="44"/>
          <w:szCs w:val="44"/>
          <w:shd w:val="clear" w:color="auto" w:fill="FFFFFF"/>
        </w:rPr>
      </w:pPr>
      <w:r>
        <w:rPr>
          <w:rFonts w:hint="eastAsia" w:ascii="方正小标宋_GBK" w:hAnsi="方正小标宋_GBK" w:eastAsia="方正小标宋_GBK" w:cs="Arial"/>
          <w:color w:val="auto"/>
          <w:sz w:val="44"/>
          <w:szCs w:val="44"/>
          <w:shd w:val="clear" w:color="auto" w:fill="FFFFFF"/>
        </w:rPr>
        <w:t>鹤山市</w:t>
      </w:r>
      <w:r>
        <w:rPr>
          <w:rFonts w:hint="eastAsia" w:ascii="方正小标宋_GBK" w:hAnsi="方正小标宋_GBK" w:eastAsia="方正小标宋_GBK" w:cs="Arial"/>
          <w:color w:val="auto"/>
          <w:sz w:val="44"/>
          <w:szCs w:val="44"/>
          <w:shd w:val="clear" w:color="auto" w:fill="FFFFFF"/>
          <w:lang w:eastAsia="zh-CN"/>
        </w:rPr>
        <w:t>中</w:t>
      </w:r>
      <w:r>
        <w:rPr>
          <w:rFonts w:hint="eastAsia" w:ascii="方正小标宋_GBK" w:hAnsi="方正小标宋_GBK" w:eastAsia="方正小标宋_GBK" w:cs="Arial"/>
          <w:color w:val="auto"/>
          <w:sz w:val="44"/>
          <w:szCs w:val="44"/>
          <w:shd w:val="clear" w:color="auto" w:fill="FFFFFF"/>
        </w:rPr>
        <w:t>医院医疗责任</w:t>
      </w:r>
      <w:r>
        <w:rPr>
          <w:rFonts w:hint="eastAsia" w:ascii="方正小标宋_GBK" w:hAnsi="方正小标宋_GBK" w:eastAsia="方正小标宋_GBK" w:cs="Arial"/>
          <w:color w:val="auto"/>
          <w:sz w:val="44"/>
          <w:szCs w:val="44"/>
          <w:shd w:val="clear" w:color="auto" w:fill="FFFFFF"/>
          <w:lang w:eastAsia="zh-CN"/>
        </w:rPr>
        <w:t>保</w:t>
      </w:r>
      <w:r>
        <w:rPr>
          <w:rFonts w:hint="eastAsia" w:ascii="方正小标宋_GBK" w:hAnsi="方正小标宋_GBK" w:eastAsia="方正小标宋_GBK" w:cs="Arial"/>
          <w:color w:val="auto"/>
          <w:sz w:val="44"/>
          <w:szCs w:val="44"/>
          <w:shd w:val="clear" w:color="auto" w:fill="FFFFFF"/>
        </w:rPr>
        <w:t>险</w:t>
      </w:r>
      <w:r>
        <w:rPr>
          <w:rFonts w:hint="eastAsia" w:ascii="方正小标宋_GBK" w:hAnsi="方正小标宋_GBK" w:eastAsia="方正小标宋_GBK" w:cs="Arial"/>
          <w:color w:val="auto"/>
          <w:sz w:val="44"/>
          <w:szCs w:val="44"/>
          <w:shd w:val="clear" w:color="auto" w:fill="FFFFFF"/>
          <w:lang w:eastAsia="zh-CN"/>
        </w:rPr>
        <w:t>服务</w:t>
      </w:r>
      <w:r>
        <w:rPr>
          <w:rFonts w:hint="eastAsia" w:ascii="方正小标宋_GBK" w:hAnsi="方正小标宋_GBK" w:eastAsia="方正小标宋_GBK" w:cs="Arial"/>
          <w:color w:val="auto"/>
          <w:sz w:val="44"/>
          <w:szCs w:val="44"/>
          <w:shd w:val="clear" w:color="auto" w:fill="FFFFFF"/>
        </w:rPr>
        <w:t>项目需求</w:t>
      </w:r>
    </w:p>
    <w:p>
      <w:pPr>
        <w:autoSpaceDE w:val="0"/>
        <w:autoSpaceDN w:val="0"/>
        <w:rPr>
          <w:rFonts w:ascii="仿宋_GB2312" w:hAnsi="仿宋" w:eastAsia="仿宋_GB2312" w:cs="仿宋"/>
          <w:b/>
          <w:color w:val="auto"/>
          <w:sz w:val="32"/>
          <w:szCs w:val="32"/>
        </w:rPr>
      </w:pPr>
    </w:p>
    <w:p>
      <w:pPr>
        <w:autoSpaceDE w:val="0"/>
        <w:autoSpaceDN w:val="0"/>
        <w:rPr>
          <w:rFonts w:hint="eastAsia" w:ascii="仿宋_GB2312" w:hAnsi="仿宋" w:eastAsia="仿宋_GB2312" w:cs="仿宋"/>
          <w:color w:val="auto"/>
          <w:sz w:val="32"/>
          <w:szCs w:val="32"/>
          <w:lang w:val="en-US" w:eastAsia="zh-CN"/>
        </w:rPr>
      </w:pPr>
      <w:r>
        <w:rPr>
          <w:rFonts w:hint="eastAsia" w:ascii="仿宋_GB2312" w:hAnsi="仿宋" w:eastAsia="仿宋_GB2312" w:cs="仿宋"/>
          <w:b/>
          <w:color w:val="auto"/>
          <w:sz w:val="32"/>
          <w:szCs w:val="32"/>
        </w:rPr>
        <w:t>一、采购项目名称：</w:t>
      </w:r>
      <w:r>
        <w:rPr>
          <w:rFonts w:hint="eastAsia" w:ascii="仿宋_GB2312" w:hAnsi="仿宋" w:eastAsia="仿宋_GB2312" w:cs="仿宋"/>
          <w:color w:val="auto"/>
          <w:sz w:val="32"/>
          <w:szCs w:val="32"/>
          <w:u w:val="single"/>
        </w:rPr>
        <w:t>202</w:t>
      </w:r>
      <w:r>
        <w:rPr>
          <w:rFonts w:hint="eastAsia" w:ascii="仿宋_GB2312" w:hAnsi="仿宋" w:eastAsia="仿宋_GB2312" w:cs="仿宋"/>
          <w:color w:val="auto"/>
          <w:sz w:val="32"/>
          <w:szCs w:val="32"/>
          <w:u w:val="single"/>
          <w:lang w:val="en-US" w:eastAsia="zh-CN"/>
        </w:rPr>
        <w:t>4－</w:t>
      </w:r>
      <w:r>
        <w:rPr>
          <w:rFonts w:hint="eastAsia" w:ascii="仿宋_GB2312" w:hAnsi="仿宋" w:eastAsia="仿宋_GB2312" w:cs="仿宋"/>
          <w:color w:val="auto"/>
          <w:sz w:val="32"/>
          <w:szCs w:val="32"/>
          <w:u w:val="single"/>
        </w:rPr>
        <w:t>202</w:t>
      </w:r>
      <w:r>
        <w:rPr>
          <w:rFonts w:hint="eastAsia" w:ascii="仿宋_GB2312" w:hAnsi="仿宋" w:eastAsia="仿宋_GB2312" w:cs="仿宋"/>
          <w:color w:val="auto"/>
          <w:sz w:val="32"/>
          <w:szCs w:val="32"/>
          <w:u w:val="single"/>
          <w:lang w:val="en-US" w:eastAsia="zh-CN"/>
        </w:rPr>
        <w:t>6</w:t>
      </w:r>
      <w:r>
        <w:rPr>
          <w:rFonts w:hint="eastAsia" w:ascii="仿宋_GB2312" w:hAnsi="仿宋" w:eastAsia="仿宋_GB2312" w:cs="仿宋"/>
          <w:color w:val="auto"/>
          <w:sz w:val="32"/>
          <w:szCs w:val="32"/>
          <w:u w:val="single"/>
        </w:rPr>
        <w:t>年</w:t>
      </w:r>
      <w:r>
        <w:rPr>
          <w:rFonts w:hint="eastAsia" w:ascii="仿宋_GB2312" w:hAnsi="仿宋" w:eastAsia="仿宋_GB2312" w:cs="仿宋"/>
          <w:color w:val="auto"/>
          <w:sz w:val="32"/>
          <w:szCs w:val="32"/>
          <w:u w:val="single"/>
          <w:lang w:eastAsia="zh-CN"/>
        </w:rPr>
        <w:t>度</w:t>
      </w:r>
      <w:r>
        <w:rPr>
          <w:rFonts w:hint="eastAsia" w:ascii="仿宋_GB2312" w:hAnsi="仿宋" w:eastAsia="仿宋_GB2312" w:cs="仿宋"/>
          <w:color w:val="auto"/>
          <w:sz w:val="32"/>
          <w:szCs w:val="32"/>
          <w:u w:val="single"/>
        </w:rPr>
        <w:t>鹤山市</w:t>
      </w:r>
      <w:r>
        <w:rPr>
          <w:rFonts w:hint="eastAsia" w:ascii="仿宋_GB2312" w:hAnsi="仿宋" w:eastAsia="仿宋_GB2312" w:cs="仿宋"/>
          <w:color w:val="auto"/>
          <w:sz w:val="32"/>
          <w:szCs w:val="32"/>
          <w:u w:val="single"/>
          <w:lang w:eastAsia="zh-CN"/>
        </w:rPr>
        <w:t>中</w:t>
      </w:r>
      <w:r>
        <w:rPr>
          <w:rFonts w:hint="eastAsia" w:ascii="仿宋_GB2312" w:hAnsi="仿宋" w:eastAsia="仿宋_GB2312" w:cs="仿宋"/>
          <w:color w:val="auto"/>
          <w:sz w:val="32"/>
          <w:szCs w:val="32"/>
          <w:u w:val="single"/>
        </w:rPr>
        <w:t>医院医疗责任保险</w:t>
      </w:r>
      <w:r>
        <w:rPr>
          <w:rFonts w:hint="eastAsia" w:ascii="仿宋_GB2312" w:hAnsi="仿宋" w:eastAsia="仿宋_GB2312" w:cs="仿宋"/>
          <w:color w:val="auto"/>
          <w:sz w:val="32"/>
          <w:szCs w:val="32"/>
          <w:u w:val="single"/>
          <w:lang w:eastAsia="zh-CN"/>
        </w:rPr>
        <w:t>服务</w:t>
      </w:r>
      <w:r>
        <w:rPr>
          <w:rFonts w:hint="eastAsia" w:ascii="仿宋_GB2312" w:hAnsi="仿宋" w:eastAsia="仿宋_GB2312" w:cs="仿宋"/>
          <w:color w:val="auto"/>
          <w:sz w:val="32"/>
          <w:szCs w:val="32"/>
        </w:rPr>
        <w:t xml:space="preserve"> </w:t>
      </w:r>
    </w:p>
    <w:p>
      <w:pPr>
        <w:autoSpaceDE w:val="0"/>
        <w:autoSpaceDN w:val="0"/>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二、采购项目预算金额</w:t>
      </w:r>
      <w:r>
        <w:rPr>
          <w:rFonts w:hint="eastAsia" w:ascii="仿宋_GB2312" w:hAnsi="仿宋" w:eastAsia="仿宋_GB2312" w:cs="仿宋"/>
          <w:color w:val="auto"/>
          <w:sz w:val="32"/>
          <w:szCs w:val="32"/>
        </w:rPr>
        <w:t>（元）</w:t>
      </w:r>
      <w:r>
        <w:rPr>
          <w:rFonts w:hint="eastAsia" w:ascii="仿宋_GB2312" w:hAnsi="仿宋" w:eastAsia="仿宋_GB2312" w:cs="仿宋"/>
          <w:b/>
          <w:color w:val="auto"/>
          <w:sz w:val="32"/>
          <w:szCs w:val="32"/>
        </w:rPr>
        <w:t>：</w:t>
      </w:r>
      <w:r>
        <w:rPr>
          <w:rFonts w:hint="eastAsia" w:ascii="仿宋_GB2312" w:hAnsi="仿宋" w:eastAsia="仿宋_GB2312" w:cs="仿宋"/>
          <w:b/>
          <w:color w:val="auto"/>
          <w:sz w:val="32"/>
          <w:szCs w:val="32"/>
          <w:lang w:val="en-US" w:eastAsia="zh-CN"/>
        </w:rPr>
        <w:t>20万元</w:t>
      </w:r>
    </w:p>
    <w:p>
      <w:pPr>
        <w:autoSpaceDE w:val="0"/>
        <w:autoSpaceDN w:val="0"/>
        <w:rPr>
          <w:rFonts w:ascii="仿宋_GB2312" w:hAnsi="仿宋" w:eastAsia="仿宋_GB2312" w:cs="仿宋"/>
          <w:color w:val="auto"/>
          <w:sz w:val="32"/>
          <w:szCs w:val="32"/>
          <w:u w:val="single"/>
        </w:rPr>
      </w:pPr>
      <w:r>
        <w:rPr>
          <w:rFonts w:hint="eastAsia" w:ascii="仿宋_GB2312" w:hAnsi="仿宋" w:eastAsia="仿宋_GB2312" w:cs="仿宋"/>
          <w:b/>
          <w:color w:val="auto"/>
          <w:sz w:val="32"/>
          <w:szCs w:val="32"/>
        </w:rPr>
        <w:t>三、采购数量:</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u w:val="single"/>
        </w:rPr>
        <w:t>1项</w:t>
      </w:r>
    </w:p>
    <w:p>
      <w:pPr>
        <w:autoSpaceDE w:val="0"/>
        <w:autoSpaceDN w:val="0"/>
        <w:rPr>
          <w:rFonts w:ascii="仿宋_GB2312" w:hAnsi="仿宋" w:eastAsia="仿宋_GB2312" w:cs="仿宋"/>
          <w:b/>
          <w:color w:val="auto"/>
          <w:sz w:val="32"/>
          <w:szCs w:val="32"/>
        </w:rPr>
      </w:pPr>
      <w:r>
        <w:rPr>
          <w:rFonts w:hint="eastAsia" w:ascii="仿宋_GB2312" w:hAnsi="仿宋" w:eastAsia="仿宋_GB2312" w:cs="仿宋"/>
          <w:b/>
          <w:color w:val="auto"/>
          <w:sz w:val="32"/>
          <w:szCs w:val="32"/>
        </w:rPr>
        <w:t>四、服务期限：</w:t>
      </w:r>
      <w:r>
        <w:rPr>
          <w:rFonts w:hint="eastAsia" w:ascii="仿宋_GB2312" w:hAnsi="仿宋" w:eastAsia="仿宋_GB2312" w:cs="仿宋"/>
          <w:color w:val="auto"/>
          <w:sz w:val="32"/>
          <w:szCs w:val="32"/>
          <w:u w:val="single"/>
        </w:rPr>
        <w:t>202</w:t>
      </w:r>
      <w:r>
        <w:rPr>
          <w:rFonts w:hint="eastAsia" w:ascii="仿宋_GB2312" w:hAnsi="仿宋" w:eastAsia="仿宋_GB2312" w:cs="仿宋"/>
          <w:color w:val="auto"/>
          <w:sz w:val="32"/>
          <w:szCs w:val="32"/>
          <w:u w:val="single"/>
          <w:lang w:val="en-US" w:eastAsia="zh-CN"/>
        </w:rPr>
        <w:t>4－</w:t>
      </w:r>
      <w:r>
        <w:rPr>
          <w:rFonts w:hint="eastAsia" w:ascii="仿宋_GB2312" w:hAnsi="仿宋" w:eastAsia="仿宋_GB2312" w:cs="仿宋"/>
          <w:color w:val="auto"/>
          <w:sz w:val="32"/>
          <w:szCs w:val="32"/>
          <w:u w:val="single"/>
        </w:rPr>
        <w:t>202</w:t>
      </w:r>
      <w:r>
        <w:rPr>
          <w:rFonts w:hint="eastAsia" w:ascii="仿宋_GB2312" w:hAnsi="仿宋" w:eastAsia="仿宋_GB2312" w:cs="仿宋"/>
          <w:color w:val="auto"/>
          <w:sz w:val="32"/>
          <w:szCs w:val="32"/>
          <w:u w:val="single"/>
          <w:lang w:val="en-US" w:eastAsia="zh-CN"/>
        </w:rPr>
        <w:t>6</w:t>
      </w:r>
      <w:r>
        <w:rPr>
          <w:rFonts w:hint="eastAsia" w:ascii="仿宋_GB2312" w:hAnsi="仿宋" w:eastAsia="仿宋_GB2312" w:cs="仿宋"/>
          <w:color w:val="auto"/>
          <w:sz w:val="32"/>
          <w:szCs w:val="32"/>
          <w:u w:val="single"/>
        </w:rPr>
        <w:t>年度，服务时长为</w:t>
      </w:r>
      <w:r>
        <w:rPr>
          <w:rFonts w:hint="eastAsia" w:ascii="仿宋_GB2312" w:hAnsi="仿宋" w:eastAsia="仿宋_GB2312" w:cs="仿宋"/>
          <w:color w:val="auto"/>
          <w:sz w:val="32"/>
          <w:szCs w:val="32"/>
          <w:u w:val="single"/>
          <w:lang w:eastAsia="zh-CN"/>
        </w:rPr>
        <w:t>贰</w:t>
      </w:r>
      <w:r>
        <w:rPr>
          <w:rFonts w:hint="eastAsia" w:ascii="仿宋_GB2312" w:hAnsi="仿宋" w:eastAsia="仿宋_GB2312" w:cs="仿宋"/>
          <w:color w:val="auto"/>
          <w:sz w:val="32"/>
          <w:szCs w:val="32"/>
          <w:u w:val="single"/>
        </w:rPr>
        <w:t>年</w:t>
      </w:r>
    </w:p>
    <w:p>
      <w:pPr>
        <w:autoSpaceDE w:val="0"/>
        <w:autoSpaceDN w:val="0"/>
        <w:rPr>
          <w:rFonts w:ascii="仿宋_GB2312" w:hAnsi="仿宋" w:eastAsia="仿宋_GB2312" w:cs="仿宋"/>
          <w:color w:val="auto"/>
          <w:sz w:val="32"/>
          <w:szCs w:val="32"/>
        </w:rPr>
      </w:pPr>
      <w:r>
        <w:rPr>
          <w:rFonts w:hint="eastAsia" w:ascii="仿宋_GB2312" w:hAnsi="仿宋" w:eastAsia="仿宋_GB2312" w:cs="仿宋"/>
          <w:b/>
          <w:color w:val="auto"/>
          <w:sz w:val="32"/>
          <w:szCs w:val="32"/>
        </w:rPr>
        <w:t>五、采购项目内容及需求</w:t>
      </w:r>
      <w:r>
        <w:rPr>
          <w:rFonts w:hint="eastAsia" w:ascii="仿宋_GB2312" w:hAnsi="仿宋" w:eastAsia="仿宋_GB2312" w:cs="仿宋"/>
          <w:color w:val="auto"/>
          <w:sz w:val="32"/>
          <w:szCs w:val="32"/>
        </w:rPr>
        <w:t>：</w:t>
      </w:r>
    </w:p>
    <w:p>
      <w:pPr>
        <w:autoSpaceDE w:val="0"/>
        <w:autoSpaceDN w:val="0"/>
        <w:ind w:left="59" w:leftChars="28" w:firstLine="640" w:firstLineChars="200"/>
        <w:rPr>
          <w:rFonts w:ascii="仿宋_GB2312" w:hAnsi="仿宋" w:eastAsia="仿宋_GB2312" w:cs="仿宋"/>
          <w:bCs/>
          <w:color w:val="auto"/>
          <w:sz w:val="32"/>
          <w:szCs w:val="32"/>
        </w:rPr>
      </w:pPr>
      <w:r>
        <w:rPr>
          <w:rFonts w:hint="eastAsia" w:ascii="仿宋_GB2312" w:hAnsi="仿宋" w:eastAsia="仿宋_GB2312" w:cs="仿宋"/>
          <w:color w:val="auto"/>
          <w:sz w:val="32"/>
          <w:szCs w:val="32"/>
        </w:rPr>
        <w:t>本项目采购内容为鹤山市</w:t>
      </w:r>
      <w:r>
        <w:rPr>
          <w:rFonts w:hint="eastAsia" w:ascii="仿宋_GB2312" w:hAnsi="仿宋" w:eastAsia="仿宋_GB2312" w:cs="仿宋"/>
          <w:color w:val="auto"/>
          <w:sz w:val="32"/>
          <w:szCs w:val="32"/>
          <w:lang w:eastAsia="zh-CN"/>
        </w:rPr>
        <w:t>中医院</w:t>
      </w:r>
      <w:r>
        <w:rPr>
          <w:rFonts w:hint="eastAsia" w:ascii="仿宋_GB2312" w:hAnsi="仿宋" w:eastAsia="仿宋_GB2312" w:cs="仿宋"/>
          <w:color w:val="auto"/>
          <w:sz w:val="32"/>
          <w:szCs w:val="32"/>
          <w:u w:val="single"/>
        </w:rPr>
        <w:t>202</w:t>
      </w:r>
      <w:r>
        <w:rPr>
          <w:rFonts w:hint="eastAsia" w:ascii="仿宋_GB2312" w:hAnsi="仿宋" w:eastAsia="仿宋_GB2312" w:cs="仿宋"/>
          <w:color w:val="auto"/>
          <w:sz w:val="32"/>
          <w:szCs w:val="32"/>
          <w:u w:val="single"/>
          <w:lang w:val="en-US" w:eastAsia="zh-CN"/>
        </w:rPr>
        <w:t>4－</w:t>
      </w:r>
      <w:r>
        <w:rPr>
          <w:rFonts w:hint="eastAsia" w:ascii="仿宋_GB2312" w:hAnsi="仿宋" w:eastAsia="仿宋_GB2312" w:cs="仿宋"/>
          <w:color w:val="auto"/>
          <w:sz w:val="32"/>
          <w:szCs w:val="32"/>
          <w:u w:val="single"/>
        </w:rPr>
        <w:t>202</w:t>
      </w:r>
      <w:r>
        <w:rPr>
          <w:rFonts w:hint="eastAsia" w:ascii="仿宋_GB2312" w:hAnsi="仿宋" w:eastAsia="仿宋_GB2312" w:cs="仿宋"/>
          <w:color w:val="auto"/>
          <w:sz w:val="32"/>
          <w:szCs w:val="32"/>
          <w:u w:val="single"/>
          <w:lang w:val="en-US" w:eastAsia="zh-CN"/>
        </w:rPr>
        <w:t>6年度</w:t>
      </w:r>
      <w:r>
        <w:rPr>
          <w:rFonts w:hint="eastAsia" w:ascii="仿宋_GB2312" w:hAnsi="仿宋" w:eastAsia="仿宋_GB2312" w:cs="仿宋"/>
          <w:color w:val="auto"/>
          <w:sz w:val="32"/>
          <w:szCs w:val="32"/>
        </w:rPr>
        <w:t>医疗责任保险服务项目采购。报价供应商不得将本项目中的内容拆散来投标。</w:t>
      </w:r>
    </w:p>
    <w:p>
      <w:pPr>
        <w:rPr>
          <w:rFonts w:hint="eastAsia" w:ascii="仿宋_GB2312" w:hAnsi="仿宋" w:eastAsia="仿宋_GB2312" w:cs="仿宋"/>
          <w:color w:val="auto"/>
          <w:sz w:val="32"/>
          <w:szCs w:val="32"/>
        </w:rPr>
      </w:pPr>
      <w:r>
        <w:rPr>
          <w:rFonts w:hint="eastAsia" w:ascii="仿宋_GB2312" w:hAnsi="仿宋" w:eastAsia="仿宋_GB2312" w:cs="仿宋"/>
          <w:b/>
          <w:color w:val="auto"/>
          <w:sz w:val="32"/>
          <w:szCs w:val="32"/>
        </w:rPr>
        <w:t>六、服务供应商资格要求</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、落实政府采购政策需满足的资格要求：本项目不属于专门面向中小企业采购的项目；</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、本项目的特定资格要求：</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应当具备《中华人民共和国政府采购法》第二十二条规定的条件；</w:t>
      </w:r>
    </w:p>
    <w:p>
      <w:pPr>
        <w:autoSpaceDE w:val="0"/>
        <w:autoSpaceDN w:val="0"/>
        <w:ind w:left="59" w:leftChars="28" w:firstLine="960" w:firstLineChars="300"/>
        <w:rPr>
          <w:rFonts w:hint="eastAsia" w:ascii="仿宋_GB2312" w:hAnsi="仿宋" w:eastAsia="仿宋_GB2312" w:cs="仿宋"/>
          <w:color w:val="auto"/>
          <w:sz w:val="32"/>
          <w:szCs w:val="32"/>
        </w:rPr>
      </w:pPr>
      <w:r>
        <w:rPr>
          <w:rFonts w:hint="default" w:ascii="Calibri" w:hAnsi="Calibri" w:eastAsia="仿宋_GB2312" w:cs="Calibri"/>
          <w:color w:val="auto"/>
          <w:sz w:val="32"/>
          <w:szCs w:val="32"/>
        </w:rPr>
        <w:t>①</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应当是具有独立承担民事责任能力</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在中华人民共和国境内注册的法人或者其他组织；（提供有效的营业执照或相关单位登记证书复印件。若分支机构投标的，应当取得总公司（总所）出具给分支机构的有效授权，并同时提供总公司（总所）的营业执照、总公司（总所）出具给分支机构的有效授权书及分支机构的营业执照复印件。已取得总公司（总所）授权的，总公司（总所）取得的相关资质证书对分支机构有效，法律法规或者行业另有规定的除外）</w:t>
      </w:r>
    </w:p>
    <w:p>
      <w:pPr>
        <w:autoSpaceDE w:val="0"/>
        <w:autoSpaceDN w:val="0"/>
        <w:ind w:left="59" w:leftChars="28" w:firstLine="960" w:firstLineChars="300"/>
        <w:rPr>
          <w:rFonts w:hint="eastAsia" w:ascii="仿宋_GB2312" w:hAnsi="仿宋" w:eastAsia="仿宋_GB2312" w:cs="仿宋"/>
          <w:color w:val="auto"/>
          <w:sz w:val="32"/>
          <w:szCs w:val="32"/>
        </w:rPr>
      </w:pPr>
      <w:r>
        <w:rPr>
          <w:rFonts w:hint="default" w:ascii="Calibri" w:hAnsi="Calibri" w:eastAsia="仿宋_GB2312" w:cs="Calibri"/>
          <w:color w:val="auto"/>
          <w:sz w:val="32"/>
          <w:szCs w:val="32"/>
        </w:rPr>
        <w:t>②</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应当具有良好的商业信誉和健全的财务会计制度；</w:t>
      </w:r>
    </w:p>
    <w:p>
      <w:pPr>
        <w:autoSpaceDE w:val="0"/>
        <w:autoSpaceDN w:val="0"/>
        <w:ind w:left="59" w:leftChars="28" w:firstLine="960" w:firstLineChars="300"/>
        <w:rPr>
          <w:rFonts w:hint="eastAsia" w:ascii="仿宋_GB2312" w:hAnsi="仿宋" w:eastAsia="仿宋_GB2312" w:cs="仿宋"/>
          <w:color w:val="auto"/>
          <w:sz w:val="32"/>
          <w:szCs w:val="32"/>
        </w:rPr>
      </w:pPr>
      <w:r>
        <w:rPr>
          <w:rFonts w:hint="default" w:ascii="Calibri" w:hAnsi="Calibri" w:eastAsia="仿宋_GB2312" w:cs="Calibri"/>
          <w:color w:val="auto"/>
          <w:sz w:val="32"/>
          <w:szCs w:val="32"/>
        </w:rPr>
        <w:t>③</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应当具有履行合同所必需的设备和专业技术能力；</w:t>
      </w:r>
    </w:p>
    <w:p>
      <w:pPr>
        <w:autoSpaceDE w:val="0"/>
        <w:autoSpaceDN w:val="0"/>
        <w:ind w:left="59" w:leftChars="28" w:firstLine="960" w:firstLineChars="300"/>
        <w:rPr>
          <w:rFonts w:hint="eastAsia" w:ascii="仿宋_GB2312" w:hAnsi="仿宋" w:eastAsia="仿宋_GB2312" w:cs="仿宋"/>
          <w:color w:val="auto"/>
          <w:sz w:val="32"/>
          <w:szCs w:val="32"/>
        </w:rPr>
      </w:pPr>
      <w:r>
        <w:rPr>
          <w:rFonts w:hint="eastAsia" w:ascii="微软雅黑" w:hAnsi="微软雅黑" w:eastAsia="微软雅黑" w:cs="微软雅黑"/>
          <w:color w:val="auto"/>
          <w:sz w:val="32"/>
          <w:szCs w:val="32"/>
        </w:rPr>
        <w:t>④</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应当有依法缴纳税收和社会保障资金的良好记录；</w:t>
      </w:r>
    </w:p>
    <w:p>
      <w:pPr>
        <w:autoSpaceDE w:val="0"/>
        <w:autoSpaceDN w:val="0"/>
        <w:ind w:left="59" w:leftChars="28" w:firstLine="960" w:firstLineChars="300"/>
        <w:rPr>
          <w:rFonts w:hint="eastAsia" w:ascii="仿宋_GB2312" w:hAnsi="仿宋" w:eastAsia="仿宋_GB2312" w:cs="仿宋"/>
          <w:color w:val="auto"/>
          <w:sz w:val="32"/>
          <w:szCs w:val="32"/>
        </w:rPr>
      </w:pPr>
      <w:r>
        <w:rPr>
          <w:rFonts w:hint="eastAsia" w:ascii="微软雅黑" w:hAnsi="微软雅黑" w:eastAsia="微软雅黑" w:cs="微软雅黑"/>
          <w:color w:val="auto"/>
          <w:sz w:val="32"/>
          <w:szCs w:val="32"/>
        </w:rPr>
        <w:t>⑤</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参加招标采购活动前三年内，在经营活动中没有重大违法记录；重大违法记录是指供应商因违法经营受到刑事处罚或者责令停产停业、吊销许可证或者执照、较大数额罚款等行政处罚（较大数额罚款按照《财政部关于&lt;中华人民共和国政府采购法实施条例&gt;第十九条第一款“较大数额罚款”具体适用问题的意见》（财库〔2022〕3号）执行）；</w:t>
      </w:r>
    </w:p>
    <w:p>
      <w:pPr>
        <w:autoSpaceDE w:val="0"/>
        <w:autoSpaceDN w:val="0"/>
        <w:ind w:left="59" w:leftChars="28" w:firstLine="960" w:firstLineChars="300"/>
        <w:rPr>
          <w:rFonts w:hint="eastAsia" w:ascii="仿宋_GB2312" w:hAnsi="仿宋" w:eastAsia="仿宋_GB2312" w:cs="仿宋"/>
          <w:color w:val="auto"/>
          <w:sz w:val="32"/>
          <w:szCs w:val="32"/>
        </w:rPr>
      </w:pPr>
      <w:r>
        <w:rPr>
          <w:rFonts w:hint="eastAsia" w:ascii="微软雅黑" w:hAnsi="微软雅黑" w:eastAsia="微软雅黑" w:cs="微软雅黑"/>
          <w:color w:val="auto"/>
          <w:sz w:val="32"/>
          <w:szCs w:val="32"/>
        </w:rPr>
        <w:t>⑥</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应当符合法律、行政法规规定的其他条件。</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应当具有原中国保险监督管理委员会（银行保险监管机构改革后有新政策的，以新政策为准）颁发的经营保险业务许可证，且经营业务范围包括责任保险；</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供应商</w:t>
      </w:r>
      <w:r>
        <w:rPr>
          <w:rFonts w:hint="eastAsia" w:ascii="仿宋_GB2312" w:hAnsi="仿宋" w:eastAsia="仿宋_GB2312" w:cs="仿宋"/>
          <w:color w:val="auto"/>
          <w:sz w:val="32"/>
          <w:szCs w:val="32"/>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（4）单位负责人为同一人或者存在直接控股、管理关系的不同供应商，不得参加同一合同项下的招标采购活动；</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（5）为本项目提供整体设计、规范编制或者项目管理、监理、检测等服务的供应商，不得再参加该采购项目的其他采购活动；</w:t>
      </w:r>
    </w:p>
    <w:p>
      <w:pPr>
        <w:autoSpaceDE w:val="0"/>
        <w:autoSpaceDN w:val="0"/>
        <w:ind w:left="59" w:leftChars="28"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（6）本项目不接受联合体投标。</w:t>
      </w:r>
    </w:p>
    <w:p>
      <w:pPr>
        <w:rPr>
          <w:rFonts w:ascii="仿宋_GB2312" w:hAnsi="仿宋" w:eastAsia="仿宋_GB2312" w:cs="仿宋"/>
          <w:b/>
          <w:color w:val="auto"/>
          <w:sz w:val="32"/>
          <w:szCs w:val="32"/>
        </w:rPr>
      </w:pPr>
    </w:p>
    <w:p>
      <w:pP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七、保险服务方案要求</w:t>
      </w:r>
    </w:p>
    <w:p>
      <w:pPr>
        <w:ind w:firstLine="640" w:firstLineChars="200"/>
        <w:rPr>
          <w:rFonts w:ascii="仿宋_GB2312" w:hAnsi="仿宋" w:eastAsia="仿宋_GB2312" w:cs="仿宋"/>
          <w:b/>
          <w:color w:val="auto"/>
          <w:sz w:val="32"/>
          <w:szCs w:val="32"/>
        </w:rPr>
      </w:pPr>
      <w:r>
        <w:rPr>
          <w:rFonts w:hint="eastAsia" w:ascii="仿宋_GB2312" w:hAnsi="仿宋" w:eastAsia="仿宋_GB2312" w:cs="仿宋"/>
          <w:color w:val="auto"/>
          <w:sz w:val="32"/>
          <w:szCs w:val="32"/>
        </w:rPr>
        <w:t>1.保险类别</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主  险：医疗责任险</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附加险：</w:t>
      </w:r>
      <w:r>
        <w:rPr>
          <w:rFonts w:hint="eastAsia" w:ascii="仿宋_GB2312" w:hAnsi="仿宋" w:eastAsia="仿宋_GB2312" w:cs="仿宋"/>
          <w:color w:val="auto"/>
          <w:sz w:val="32"/>
          <w:szCs w:val="32"/>
          <w:lang w:val="en-GB"/>
        </w:rPr>
        <w:t>医务人员人身伤害责任保险</w:t>
      </w:r>
    </w:p>
    <w:p>
      <w:pPr>
        <w:ind w:left="420" w:leftChars="200" w:firstLine="160" w:firstLineChars="50"/>
        <w:rPr>
          <w:rFonts w:ascii="仿宋_GB2312" w:hAnsi="仿宋" w:eastAsia="仿宋_GB2312" w:cs="仿宋"/>
          <w:color w:val="auto"/>
          <w:sz w:val="32"/>
          <w:szCs w:val="32"/>
        </w:rPr>
      </w:pPr>
      <w:r>
        <w:rPr>
          <w:rFonts w:hint="eastAsia" w:ascii="仿宋_GB2312" w:hAnsi="仿宋" w:eastAsia="仿宋_GB2312" w:cs="仿宋"/>
          <w:color w:val="auto"/>
          <w:sz w:val="32"/>
          <w:szCs w:val="32"/>
        </w:rPr>
        <w:t>2.保险期限</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保险期限为</w:t>
      </w:r>
      <w:r>
        <w:rPr>
          <w:rFonts w:hint="eastAsia" w:ascii="仿宋_GB2312" w:hAnsi="仿宋" w:eastAsia="仿宋_GB2312" w:cs="仿宋"/>
          <w:color w:val="auto"/>
          <w:sz w:val="32"/>
          <w:szCs w:val="32"/>
          <w:lang w:val="en-US" w:eastAsia="zh-CN"/>
        </w:rPr>
        <w:t>24</w:t>
      </w:r>
      <w:r>
        <w:rPr>
          <w:rFonts w:hint="eastAsia" w:ascii="仿宋_GB2312" w:hAnsi="仿宋" w:eastAsia="仿宋_GB2312" w:cs="仿宋"/>
          <w:color w:val="auto"/>
          <w:sz w:val="32"/>
          <w:szCs w:val="32"/>
        </w:rPr>
        <w:t>个月(起保日期以保单为准）</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3.保险金额（货币均为人民币）</w:t>
      </w:r>
    </w:p>
    <w:p>
      <w:pPr>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主  险：</w:t>
      </w:r>
      <w:r>
        <w:rPr>
          <w:rFonts w:hint="eastAsia" w:ascii="仿宋_GB2312" w:hAnsi="仿宋" w:eastAsia="仿宋_GB2312" w:cs="仿宋"/>
          <w:color w:val="auto"/>
          <w:sz w:val="32"/>
          <w:szCs w:val="32"/>
          <w:lang w:eastAsia="zh-CN"/>
        </w:rPr>
        <w:t>医疗责任每人责任限额：伍拾万元</w:t>
      </w:r>
      <w:r>
        <w:rPr>
          <w:rFonts w:hint="eastAsia" w:ascii="仿宋_GB2312" w:hAnsi="仿宋" w:eastAsia="仿宋_GB2312" w:cs="仿宋"/>
          <w:color w:val="auto"/>
          <w:sz w:val="32"/>
          <w:szCs w:val="32"/>
          <w:lang w:val="en-GB" w:eastAsia="zh-CN"/>
        </w:rPr>
        <w:t>，</w:t>
      </w:r>
      <w:r>
        <w:rPr>
          <w:rFonts w:hint="eastAsia" w:ascii="仿宋_GB2312" w:hAnsi="仿宋" w:eastAsia="仿宋_GB2312" w:cs="仿宋"/>
          <w:color w:val="auto"/>
          <w:sz w:val="32"/>
          <w:szCs w:val="32"/>
        </w:rPr>
        <w:t>保险期限内累计赔偿限额</w:t>
      </w:r>
      <w:r>
        <w:rPr>
          <w:rFonts w:hint="eastAsia" w:ascii="仿宋_GB2312" w:hAnsi="仿宋" w:eastAsia="仿宋_GB2312" w:cs="仿宋"/>
          <w:color w:val="auto"/>
          <w:sz w:val="32"/>
          <w:szCs w:val="32"/>
          <w:lang w:val="en-US" w:eastAsia="zh-CN"/>
        </w:rPr>
        <w:t>叁佰</w:t>
      </w:r>
      <w:r>
        <w:rPr>
          <w:rFonts w:hint="eastAsia" w:ascii="仿宋_GB2312" w:hAnsi="仿宋" w:eastAsia="仿宋_GB2312" w:cs="仿宋"/>
          <w:color w:val="auto"/>
          <w:sz w:val="32"/>
          <w:szCs w:val="32"/>
        </w:rPr>
        <w:t>万元/年</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GB" w:eastAsia="zh-CN"/>
        </w:rPr>
        <w:t>不设免赔额</w:t>
      </w:r>
      <w:r>
        <w:rPr>
          <w:rFonts w:hint="eastAsia" w:ascii="仿宋_GB2312" w:hAnsi="仿宋" w:eastAsia="仿宋_GB2312" w:cs="仿宋"/>
          <w:color w:val="auto"/>
          <w:sz w:val="32"/>
          <w:szCs w:val="32"/>
        </w:rPr>
        <w:t>；法律</w:t>
      </w:r>
      <w:r>
        <w:rPr>
          <w:rFonts w:hint="eastAsia" w:ascii="仿宋_GB2312" w:hAnsi="仿宋" w:eastAsia="仿宋_GB2312" w:cs="仿宋"/>
          <w:color w:val="auto"/>
          <w:sz w:val="32"/>
          <w:szCs w:val="32"/>
          <w:lang w:eastAsia="zh-CN"/>
        </w:rPr>
        <w:t>费用每次事故责任限额：伍万元，</w:t>
      </w:r>
      <w:r>
        <w:rPr>
          <w:rFonts w:hint="eastAsia" w:ascii="仿宋_GB2312" w:hAnsi="仿宋" w:eastAsia="仿宋_GB2312" w:cs="仿宋"/>
          <w:color w:val="auto"/>
          <w:sz w:val="32"/>
          <w:szCs w:val="32"/>
        </w:rPr>
        <w:t>累计赔偿限额</w:t>
      </w:r>
      <w:r>
        <w:rPr>
          <w:rFonts w:hint="eastAsia" w:ascii="仿宋_GB2312" w:hAnsi="仿宋" w:eastAsia="仿宋_GB2312" w:cs="仿宋"/>
          <w:color w:val="auto"/>
          <w:sz w:val="32"/>
          <w:szCs w:val="32"/>
          <w:lang w:val="en-US" w:eastAsia="zh-CN"/>
        </w:rPr>
        <w:t>伍拾</w:t>
      </w:r>
      <w:r>
        <w:rPr>
          <w:rFonts w:hint="eastAsia" w:ascii="仿宋_GB2312" w:hAnsi="仿宋" w:eastAsia="仿宋_GB2312" w:cs="仿宋"/>
          <w:color w:val="auto"/>
          <w:sz w:val="32"/>
          <w:szCs w:val="32"/>
        </w:rPr>
        <w:t>万元/年</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GB" w:eastAsia="zh-CN"/>
        </w:rPr>
        <w:t>不设免赔额</w:t>
      </w:r>
      <w:r>
        <w:rPr>
          <w:rFonts w:hint="eastAsia" w:ascii="仿宋_GB2312" w:hAnsi="仿宋" w:eastAsia="仿宋_GB2312" w:cs="仿宋"/>
          <w:color w:val="auto"/>
          <w:sz w:val="32"/>
          <w:szCs w:val="32"/>
          <w:lang w:eastAsia="zh-CN"/>
        </w:rPr>
        <w:t>。</w:t>
      </w:r>
    </w:p>
    <w:p>
      <w:pPr>
        <w:tabs>
          <w:tab w:val="left" w:pos="360"/>
        </w:tabs>
        <w:ind w:left="63" w:leftChars="30"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GB" w:eastAsia="zh-CN"/>
        </w:rPr>
        <w:t>（</w:t>
      </w:r>
      <w:r>
        <w:rPr>
          <w:rFonts w:hint="eastAsia" w:ascii="仿宋_GB2312" w:hAnsi="仿宋" w:eastAsia="仿宋_GB2312" w:cs="仿宋"/>
          <w:color w:val="auto"/>
          <w:sz w:val="32"/>
          <w:szCs w:val="32"/>
          <w:lang w:eastAsia="zh-CN"/>
        </w:rPr>
        <w:t>法律费用包括：事故鉴定费、查勘费、取证费、仲裁或诉讼费、案件受理费、律师费等。</w:t>
      </w:r>
      <w:r>
        <w:rPr>
          <w:rFonts w:hint="eastAsia" w:ascii="仿宋_GB2312" w:hAnsi="仿宋" w:eastAsia="仿宋_GB2312" w:cs="仿宋"/>
          <w:color w:val="auto"/>
          <w:sz w:val="32"/>
          <w:szCs w:val="32"/>
          <w:lang w:val="en-GB" w:eastAsia="zh-CN"/>
        </w:rPr>
        <w:t>）</w:t>
      </w:r>
    </w:p>
    <w:p>
      <w:pPr>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附加险：</w:t>
      </w:r>
      <w:r>
        <w:rPr>
          <w:rFonts w:hint="eastAsia" w:ascii="仿宋_GB2312" w:hAnsi="仿宋" w:eastAsia="仿宋_GB2312" w:cs="仿宋"/>
          <w:color w:val="auto"/>
          <w:sz w:val="32"/>
          <w:szCs w:val="32"/>
          <w:lang w:val="en-GB"/>
        </w:rPr>
        <w:t>医务人员人身伤害责任保险</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GB"/>
        </w:rPr>
        <w:t>医务人员的每人每次责任限额≥20万元。</w:t>
      </w:r>
      <w:r>
        <w:rPr>
          <w:rFonts w:hint="eastAsia" w:ascii="仿宋_GB2312" w:hAnsi="仿宋" w:eastAsia="仿宋_GB2312" w:cs="仿宋"/>
          <w:color w:val="auto"/>
          <w:sz w:val="32"/>
          <w:szCs w:val="32"/>
        </w:rPr>
        <w:t>发生死亡者，赔偿限额20万元/人。</w:t>
      </w:r>
    </w:p>
    <w:p>
      <w:pPr>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附加险：</w:t>
      </w:r>
      <w:r>
        <w:rPr>
          <w:rFonts w:hint="eastAsia" w:ascii="仿宋_GB2312" w:hAnsi="仿宋" w:eastAsia="仿宋_GB2312" w:cs="仿宋"/>
          <w:color w:val="auto"/>
          <w:sz w:val="32"/>
          <w:szCs w:val="32"/>
          <w:lang w:eastAsia="zh-CN"/>
        </w:rPr>
        <w:t>外请医务人员医疗责任保险、进修医务人员医疗责任保险</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4</w:t>
      </w:r>
      <w:r>
        <w:rPr>
          <w:rFonts w:hint="eastAsia" w:ascii="仿宋_GB2312" w:hAnsi="仿宋" w:eastAsia="仿宋_GB2312" w:cs="仿宋"/>
          <w:color w:val="auto"/>
          <w:sz w:val="32"/>
          <w:szCs w:val="32"/>
        </w:rPr>
        <w:t>.服务供应商须建立简易理赔机制,对于索赔金额不超人民币</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万元的医疗纠纷,属于本保单保险责任内,经医患双方协商或者</w:t>
      </w:r>
      <w:r>
        <w:rPr>
          <w:rFonts w:hint="eastAsia" w:ascii="仿宋_GB2312" w:hAnsi="仿宋" w:eastAsia="仿宋_GB2312" w:cs="仿宋"/>
          <w:color w:val="auto"/>
          <w:sz w:val="32"/>
          <w:szCs w:val="32"/>
          <w:lang w:eastAsia="zh-CN"/>
        </w:rPr>
        <w:t>医疗纠纷调解室</w:t>
      </w:r>
      <w:r>
        <w:rPr>
          <w:rFonts w:hint="eastAsia" w:ascii="仿宋_GB2312" w:hAnsi="仿宋" w:eastAsia="仿宋_GB2312" w:cs="仿宋"/>
          <w:color w:val="auto"/>
          <w:sz w:val="32"/>
          <w:szCs w:val="32"/>
        </w:rPr>
        <w:t>调解解决的，实行简易快速理赔。在保险期限内,年累计赔偿限额为人民币</w:t>
      </w:r>
      <w:r>
        <w:rPr>
          <w:rFonts w:hint="eastAsia" w:ascii="仿宋_GB2312" w:hAnsi="仿宋" w:eastAsia="仿宋_GB2312" w:cs="仿宋"/>
          <w:color w:val="auto"/>
          <w:sz w:val="32"/>
          <w:szCs w:val="32"/>
          <w:lang w:val="en-US" w:eastAsia="zh-CN"/>
        </w:rPr>
        <w:t>10</w:t>
      </w:r>
      <w:r>
        <w:rPr>
          <w:rFonts w:hint="eastAsia" w:ascii="仿宋_GB2312" w:hAnsi="仿宋" w:eastAsia="仿宋_GB2312" w:cs="仿宋"/>
          <w:color w:val="auto"/>
          <w:sz w:val="32"/>
          <w:szCs w:val="32"/>
        </w:rPr>
        <w:t>万元,并在医疗纠纷的赔偿限额内计赔。</w:t>
      </w:r>
    </w:p>
    <w:p>
      <w:pPr>
        <w:pStyle w:val="3"/>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在采购方提出需求时，保险服务提供商指定专人负责对接医院服务,包括收集整理理赔资料、参加医疗纠纷调解或者作为代理人代表医院到</w:t>
      </w:r>
      <w:r>
        <w:rPr>
          <w:rFonts w:hint="eastAsia" w:ascii="仿宋_GB2312" w:hAnsi="仿宋" w:eastAsia="仿宋_GB2312" w:cs="仿宋"/>
          <w:color w:val="auto"/>
          <w:sz w:val="32"/>
          <w:szCs w:val="32"/>
          <w:lang w:eastAsia="zh-CN"/>
        </w:rPr>
        <w:t>医疗纠纷调解室</w:t>
      </w:r>
      <w:r>
        <w:rPr>
          <w:rFonts w:hint="eastAsia" w:ascii="仿宋_GB2312" w:hAnsi="仿宋" w:eastAsia="仿宋_GB2312" w:cs="仿宋"/>
          <w:color w:val="auto"/>
          <w:sz w:val="32"/>
          <w:szCs w:val="32"/>
        </w:rPr>
        <w:t>参加调解工作。</w:t>
      </w:r>
    </w:p>
    <w:p>
      <w:pPr>
        <w:pStyle w:val="3"/>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6.承保基础</w:t>
      </w:r>
    </w:p>
    <w:p>
      <w:pPr>
        <w:pStyle w:val="3"/>
        <w:ind w:firstLine="640" w:firstLineChars="200"/>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本次医责险承保基础约定为“期内索赔制”，在保险有效期内发生保险责任范围内的保险责任事件时，保险公司负责赔偿。要求提供追溯期范围及最长的追溯期。</w:t>
      </w:r>
      <w:bookmarkStart w:id="0" w:name="_GoBack"/>
      <w:bookmarkEnd w:id="0"/>
    </w:p>
    <w:p>
      <w:pPr>
        <w:tabs>
          <w:tab w:val="left" w:pos="312"/>
        </w:tabs>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.服务供应商须具备专门的售后服务小组，服务小组须提供上门现场服务，接到报案后根据医院需求，2小时内派专人到医院现场协助医疗纠纷调解工作。小组成员除一般的保险理赔人员外，还须有参加医疗</w:t>
      </w:r>
      <w:r>
        <w:rPr>
          <w:rFonts w:hint="eastAsia" w:ascii="仿宋_GB2312" w:hAnsi="仿宋" w:eastAsia="仿宋_GB2312" w:cs="仿宋"/>
          <w:color w:val="auto"/>
          <w:sz w:val="32"/>
          <w:szCs w:val="32"/>
          <w:lang w:eastAsia="zh-CN"/>
        </w:rPr>
        <w:t>纠纷</w:t>
      </w:r>
      <w:r>
        <w:rPr>
          <w:rFonts w:hint="eastAsia" w:ascii="仿宋_GB2312" w:hAnsi="仿宋" w:eastAsia="仿宋_GB2312" w:cs="仿宋"/>
          <w:color w:val="auto"/>
          <w:sz w:val="32"/>
          <w:szCs w:val="32"/>
        </w:rPr>
        <w:t>调解经历或者医学、法律相关专业人员，并提供相应人员资质资料。若服务供应商未能按时限要求进行服务响应，当该宗医疗纠纷/案件发生实际赔付，采购方对该宗医疗纠纷/案件申请服务理赔时，不设免赔额度（即免赔额为0）。</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.服务供应商必须具备</w:t>
      </w:r>
      <w:r>
        <w:rPr>
          <w:rFonts w:hint="eastAsia" w:ascii="仿宋_GB2312" w:hAnsi="仿宋" w:eastAsia="仿宋_GB2312" w:cs="仿宋"/>
          <w:color w:val="auto"/>
          <w:sz w:val="32"/>
          <w:szCs w:val="32"/>
          <w:lang w:eastAsia="zh-CN"/>
        </w:rPr>
        <w:t>近两年</w:t>
      </w:r>
      <w:r>
        <w:rPr>
          <w:rFonts w:hint="eastAsia" w:ascii="仿宋_GB2312" w:hAnsi="仿宋" w:eastAsia="仿宋_GB2312" w:cs="仿宋"/>
          <w:color w:val="auto"/>
          <w:sz w:val="32"/>
          <w:szCs w:val="32"/>
        </w:rPr>
        <w:t>广东省内</w:t>
      </w:r>
      <w:r>
        <w:rPr>
          <w:rFonts w:hint="eastAsia" w:ascii="仿宋_GB2312" w:hAnsi="仿宋" w:eastAsia="仿宋_GB2312" w:cs="仿宋"/>
          <w:color w:val="auto"/>
          <w:sz w:val="32"/>
          <w:szCs w:val="32"/>
          <w:u w:val="single"/>
        </w:rPr>
        <w:t>至少</w:t>
      </w:r>
      <w:r>
        <w:rPr>
          <w:rFonts w:hint="eastAsia" w:ascii="仿宋_GB2312" w:hAnsi="仿宋" w:eastAsia="仿宋_GB2312" w:cs="仿宋"/>
          <w:color w:val="auto"/>
          <w:sz w:val="32"/>
          <w:szCs w:val="32"/>
          <w:u w:val="single"/>
          <w:lang w:eastAsia="zh-CN"/>
        </w:rPr>
        <w:t>三</w:t>
      </w:r>
      <w:r>
        <w:rPr>
          <w:rFonts w:hint="eastAsia" w:ascii="仿宋_GB2312" w:hAnsi="仿宋" w:eastAsia="仿宋_GB2312" w:cs="仿宋"/>
          <w:color w:val="auto"/>
          <w:sz w:val="32"/>
          <w:szCs w:val="32"/>
          <w:u w:val="single"/>
        </w:rPr>
        <w:t>家</w:t>
      </w:r>
      <w:r>
        <w:rPr>
          <w:rFonts w:hint="eastAsia" w:ascii="仿宋_GB2312" w:hAnsi="仿宋" w:eastAsia="仿宋_GB2312" w:cs="仿宋"/>
          <w:color w:val="auto"/>
          <w:sz w:val="32"/>
          <w:szCs w:val="32"/>
          <w:u w:val="single"/>
          <w:lang w:eastAsia="zh-CN"/>
        </w:rPr>
        <w:t>二</w:t>
      </w:r>
      <w:r>
        <w:rPr>
          <w:rFonts w:hint="eastAsia" w:ascii="仿宋_GB2312" w:hAnsi="仿宋" w:eastAsia="仿宋_GB2312" w:cs="仿宋"/>
          <w:color w:val="auto"/>
          <w:sz w:val="32"/>
          <w:szCs w:val="32"/>
          <w:u w:val="single"/>
        </w:rPr>
        <w:t>级</w:t>
      </w:r>
      <w:r>
        <w:rPr>
          <w:rFonts w:hint="eastAsia" w:ascii="仿宋_GB2312" w:hAnsi="仿宋" w:eastAsia="仿宋_GB2312" w:cs="仿宋"/>
          <w:color w:val="auto"/>
          <w:sz w:val="32"/>
          <w:szCs w:val="32"/>
          <w:u w:val="single"/>
          <w:lang w:eastAsia="zh-CN"/>
        </w:rPr>
        <w:t>或以上</w:t>
      </w:r>
      <w:r>
        <w:rPr>
          <w:rFonts w:hint="eastAsia" w:ascii="仿宋_GB2312" w:hAnsi="仿宋" w:eastAsia="仿宋_GB2312" w:cs="仿宋"/>
          <w:color w:val="auto"/>
          <w:sz w:val="32"/>
          <w:szCs w:val="32"/>
        </w:rPr>
        <w:t>医疗机构医疗责任保险相关服务经验（提供20</w:t>
      </w:r>
      <w:r>
        <w:rPr>
          <w:rFonts w:hint="eastAsia" w:ascii="仿宋_GB2312" w:hAnsi="仿宋" w:eastAsia="仿宋_GB2312" w:cs="仿宋"/>
          <w:color w:val="auto"/>
          <w:sz w:val="32"/>
          <w:szCs w:val="32"/>
          <w:lang w:val="en-US" w:eastAsia="zh-CN"/>
        </w:rPr>
        <w:t>22</w:t>
      </w:r>
      <w:r>
        <w:rPr>
          <w:rFonts w:hint="eastAsia" w:ascii="华文仿宋" w:hAnsi="华文仿宋" w:eastAsia="华文仿宋" w:cs="仿宋"/>
          <w:color w:val="auto"/>
          <w:sz w:val="32"/>
          <w:szCs w:val="32"/>
          <w:lang w:eastAsia="zh-CN"/>
        </w:rPr>
        <w:t>－</w:t>
      </w: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年期间的二级或三级医疗机构保单复印件或成交采购合同复印件并加盖公章，同一医疗机构不同保险期限的只按一项承保经验计算；承保主体必须与服务供应商为同一人，承保主体与服务供应商非同一人的不予计算）；</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.参考数据</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投保人数: </w:t>
      </w:r>
      <w:r>
        <w:rPr>
          <w:rFonts w:hint="eastAsia" w:ascii="仿宋_GB2312" w:hAnsi="仿宋" w:eastAsia="仿宋_GB2312" w:cs="仿宋"/>
          <w:color w:val="auto"/>
          <w:sz w:val="32"/>
          <w:szCs w:val="32"/>
          <w:u w:val="single"/>
          <w:lang w:val="en-US" w:eastAsia="zh-CN"/>
        </w:rPr>
        <w:t>3</w:t>
      </w:r>
      <w:r>
        <w:rPr>
          <w:rFonts w:hint="eastAsia" w:ascii="仿宋_GB2312" w:hAnsi="仿宋" w:eastAsia="仿宋_GB2312" w:cs="仿宋"/>
          <w:color w:val="auto"/>
          <w:sz w:val="32"/>
          <w:szCs w:val="32"/>
          <w:u w:val="single"/>
        </w:rPr>
        <w:t>00</w:t>
      </w:r>
      <w:r>
        <w:rPr>
          <w:rFonts w:hint="eastAsia" w:ascii="仿宋_GB2312" w:hAnsi="仿宋" w:eastAsia="仿宋_GB2312" w:cs="仿宋"/>
          <w:color w:val="auto"/>
          <w:sz w:val="32"/>
          <w:szCs w:val="32"/>
        </w:rPr>
        <w:t>人,允许有10%的人员变动(离退休,新入职等因素)</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投保床位数:</w:t>
      </w:r>
      <w:r>
        <w:rPr>
          <w:rFonts w:hint="eastAsia" w:ascii="仿宋_GB2312" w:hAnsi="仿宋" w:eastAsia="仿宋_GB2312" w:cs="仿宋"/>
          <w:color w:val="auto"/>
          <w:sz w:val="32"/>
          <w:szCs w:val="32"/>
          <w:u w:val="single"/>
          <w:lang w:val="en-US" w:eastAsia="zh-CN"/>
        </w:rPr>
        <w:t>299</w:t>
      </w:r>
      <w:r>
        <w:rPr>
          <w:rFonts w:hint="eastAsia" w:ascii="仿宋_GB2312" w:hAnsi="仿宋" w:eastAsia="仿宋_GB2312" w:cs="仿宋"/>
          <w:color w:val="auto"/>
          <w:sz w:val="32"/>
          <w:szCs w:val="32"/>
        </w:rPr>
        <w:t>床</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20</w:t>
      </w:r>
      <w:r>
        <w:rPr>
          <w:rFonts w:ascii="仿宋_GB2312" w:hAnsi="仿宋" w:eastAsia="仿宋_GB2312" w:cs="仿宋"/>
          <w:color w:val="auto"/>
          <w:sz w:val="32"/>
          <w:szCs w:val="32"/>
        </w:rPr>
        <w:t>2</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年门诊量:</w:t>
      </w:r>
      <w:r>
        <w:rPr>
          <w:rFonts w:hint="eastAsia" w:ascii="仿宋_GB2312" w:hAnsi="仿宋" w:eastAsia="仿宋_GB2312" w:cs="仿宋"/>
          <w:color w:val="auto"/>
          <w:sz w:val="32"/>
          <w:szCs w:val="32"/>
          <w:u w:val="single"/>
          <w:lang w:val="en-US" w:eastAsia="zh-CN"/>
        </w:rPr>
        <w:t>41万</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20</w:t>
      </w:r>
      <w:r>
        <w:rPr>
          <w:rFonts w:ascii="仿宋_GB2312" w:hAnsi="仿宋" w:eastAsia="仿宋_GB2312" w:cs="仿宋"/>
          <w:color w:val="auto"/>
          <w:sz w:val="32"/>
          <w:szCs w:val="32"/>
        </w:rPr>
        <w:t>2</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年出院人数:</w:t>
      </w:r>
      <w:r>
        <w:rPr>
          <w:rFonts w:hint="eastAsia" w:ascii="仿宋_GB2312" w:hAnsi="仿宋" w:eastAsia="仿宋_GB2312" w:cs="仿宋"/>
          <w:color w:val="auto"/>
          <w:sz w:val="32"/>
          <w:szCs w:val="32"/>
          <w:u w:val="single"/>
          <w:lang w:val="en-US" w:eastAsia="zh-CN"/>
        </w:rPr>
        <w:t>9876</w:t>
      </w:r>
      <w:r>
        <w:rPr>
          <w:rFonts w:hint="eastAsia" w:ascii="仿宋_GB2312" w:hAnsi="仿宋" w:eastAsia="仿宋_GB2312" w:cs="仿宋"/>
          <w:color w:val="auto"/>
          <w:sz w:val="32"/>
          <w:szCs w:val="32"/>
        </w:rPr>
        <w:t>人次</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10</w:t>
      </w:r>
      <w:r>
        <w:rPr>
          <w:rFonts w:hint="eastAsia" w:ascii="仿宋_GB2312" w:hAnsi="仿宋" w:eastAsia="仿宋_GB2312" w:cs="仿宋"/>
          <w:color w:val="auto"/>
          <w:sz w:val="32"/>
          <w:szCs w:val="32"/>
        </w:rPr>
        <w:t>.本次采购的服务供应报价应为人民币含税全包价。</w:t>
      </w:r>
    </w:p>
    <w:p>
      <w:pPr>
        <w:pStyle w:val="3"/>
        <w:rPr>
          <w:rFonts w:ascii="仿宋_GB2312" w:hAnsi="仿宋" w:eastAsia="仿宋_GB2312" w:cs="仿宋"/>
          <w:b/>
          <w:color w:val="auto"/>
          <w:sz w:val="32"/>
          <w:szCs w:val="32"/>
        </w:rPr>
      </w:pPr>
    </w:p>
    <w:p>
      <w:pPr>
        <w:pStyle w:val="3"/>
        <w:rPr>
          <w:rFonts w:ascii="仿宋_GB2312" w:hAnsi="仿宋" w:eastAsia="仿宋_GB2312" w:cs="仿宋"/>
          <w:b/>
          <w:color w:val="auto"/>
          <w:sz w:val="32"/>
          <w:szCs w:val="32"/>
        </w:rPr>
      </w:pPr>
      <w:r>
        <w:rPr>
          <w:rFonts w:hint="eastAsia" w:ascii="仿宋_GB2312" w:hAnsi="仿宋" w:eastAsia="仿宋_GB2312" w:cs="仿宋"/>
          <w:b/>
          <w:color w:val="auto"/>
          <w:sz w:val="32"/>
          <w:szCs w:val="32"/>
        </w:rPr>
        <w:t>八、其他要求</w:t>
      </w:r>
    </w:p>
    <w:p>
      <w:pPr>
        <w:pStyle w:val="3"/>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本次采购采用综合评比方法,以采购要求文件规定的条件为原则，对各服务供应商所报的保险费率、承保及偿付方案、服务计划、同类项目承保经验以及参与项目人员情况等方面内容进行综合比较。最低报价不作为采购的唯一依据。</w:t>
      </w:r>
    </w:p>
    <w:p>
      <w:pPr>
        <w:pStyle w:val="3"/>
        <w:ind w:firstLine="640" w:firstLineChars="200"/>
        <w:rPr>
          <w:rFonts w:ascii="仿宋_GB2312" w:hAnsi="仿宋" w:eastAsia="仿宋_GB2312" w:cs="仿宋"/>
          <w:color w:val="auto"/>
          <w:sz w:val="32"/>
          <w:szCs w:val="32"/>
        </w:rPr>
      </w:pPr>
    </w:p>
    <w:p>
      <w:pPr>
        <w:rPr>
          <w:rFonts w:ascii="仿宋_GB2312" w:hAnsi="仿宋" w:eastAsia="仿宋_GB2312" w:cs="仿宋"/>
          <w:b/>
          <w:bCs/>
          <w:color w:val="auto"/>
          <w:sz w:val="32"/>
          <w:szCs w:val="32"/>
        </w:rPr>
      </w:pPr>
      <w:r>
        <w:rPr>
          <w:rFonts w:hint="eastAsia" w:ascii="仿宋_GB2312" w:hAnsi="仿宋" w:eastAsia="仿宋_GB2312" w:cs="仿宋"/>
          <w:b/>
          <w:bCs/>
          <w:color w:val="auto"/>
          <w:sz w:val="32"/>
          <w:szCs w:val="32"/>
        </w:rPr>
        <w:t>九、结算方式</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一次性付款。</w:t>
      </w:r>
    </w:p>
    <w:p>
      <w:pPr>
        <w:rPr>
          <w:color w:val="auto"/>
        </w:rPr>
      </w:pPr>
    </w:p>
    <w:p>
      <w:pPr>
        <w:rPr>
          <w:rFonts w:hint="eastAsia" w:ascii="仿宋_GB2312" w:hAnsi="仿宋" w:eastAsia="仿宋_GB2312" w:cs="仿宋"/>
          <w:b/>
          <w:bCs/>
          <w:color w:val="auto"/>
          <w:sz w:val="32"/>
          <w:szCs w:val="32"/>
          <w:lang w:eastAsia="zh-CN"/>
        </w:rPr>
      </w:pPr>
      <w:r>
        <w:rPr>
          <w:rFonts w:hint="eastAsia" w:ascii="仿宋_GB2312" w:hAnsi="仿宋" w:eastAsia="仿宋_GB2312" w:cs="仿宋"/>
          <w:b/>
          <w:bCs/>
          <w:color w:val="auto"/>
          <w:sz w:val="32"/>
          <w:szCs w:val="32"/>
          <w:lang w:eastAsia="zh-CN"/>
        </w:rPr>
        <w:t>十、案件理赔偿付</w:t>
      </w:r>
    </w:p>
    <w:p>
      <w:pPr>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保险人收到被保险人的赔偿保险金的请求后，应当及时作出是否属于保险责任的核定，情形复杂的，应当在三十日内作出核定。保险人应当将核定结果通知被保险人，对属于保险责任的，在被保险人提交索赔申请、证明和相关材料后三十个工作日内履行赔偿保险金义务；对不属于保险责任的，应当自作出核定之日起三日内向被保险人发出拒绝赔偿保险金通知书，并说明理由。</w:t>
      </w:r>
    </w:p>
    <w:p>
      <w:pPr>
        <w:ind w:firstLine="640" w:firstLineChars="200"/>
        <w:rPr>
          <w:rFonts w:hint="default"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对属于保险责任而逾期未履行赔偿保险金义务的，被保险人将采取一切必要的法律手段保障合法权益，由此产生的违约金、诉讼费、保全费、律师费、逾期利息等将由保险人承担。</w:t>
      </w:r>
    </w:p>
    <w:p>
      <w:pPr>
        <w:rPr>
          <w:color w:val="auto"/>
        </w:rPr>
      </w:pPr>
    </w:p>
    <w:sectPr>
      <w:headerReference r:id="rId3" w:type="default"/>
      <w:footerReference r:id="rId4"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A2197A6-6B87-48BE-8C25-BDC03254FED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7B61AF5-CC1F-4DD2-A31D-9F19353C6B1D}"/>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3" w:fontKey="{1E9A2470-44E0-4E88-9ED8-F6D735ACE446}"/>
  </w:font>
  <w:font w:name="仿宋_GB2312">
    <w:altName w:val="仿宋"/>
    <w:panose1 w:val="02010609030101010101"/>
    <w:charset w:val="86"/>
    <w:family w:val="modern"/>
    <w:pitch w:val="default"/>
    <w:sig w:usb0="00000000" w:usb1="00000000" w:usb2="00000000" w:usb3="00000000" w:csb0="00040000" w:csb1="00000000"/>
    <w:embedRegular r:id="rId4" w:fontKey="{690D842F-7C7A-49B9-9CAA-661DCF909CDB}"/>
  </w:font>
  <w:font w:name="方正小标宋_GBK">
    <w:panose1 w:val="02000000000000000000"/>
    <w:charset w:val="86"/>
    <w:family w:val="script"/>
    <w:pitch w:val="default"/>
    <w:sig w:usb0="A00002BF" w:usb1="38CF7CFA" w:usb2="00082016" w:usb3="00000000" w:csb0="00040001" w:csb1="00000000"/>
    <w:embedRegular r:id="rId5" w:fontKey="{496C0D00-6897-4D89-BC3A-588B4B93D82B}"/>
  </w:font>
  <w:font w:name="仿宋">
    <w:panose1 w:val="02010609060101010101"/>
    <w:charset w:val="86"/>
    <w:family w:val="modern"/>
    <w:pitch w:val="default"/>
    <w:sig w:usb0="800002BF" w:usb1="38CF7CFA" w:usb2="00000016" w:usb3="00000000" w:csb0="00040001" w:csb1="00000000"/>
    <w:embedRegular r:id="rId6" w:fontKey="{D0C1D46F-D692-426F-9E02-AABA5F01FCC6}"/>
  </w:font>
  <w:font w:name="微软雅黑">
    <w:panose1 w:val="020B0503020204020204"/>
    <w:charset w:val="86"/>
    <w:family w:val="auto"/>
    <w:pitch w:val="default"/>
    <w:sig w:usb0="80000287" w:usb1="280F3C52" w:usb2="00000016" w:usb3="00000000" w:csb0="0004001F" w:csb1="00000000"/>
    <w:embedRegular r:id="rId7" w:fontKey="{AB333848-14C9-4165-8801-3C82BA478B02}"/>
  </w:font>
  <w:font w:name="华文仿宋">
    <w:altName w:val="仿宋"/>
    <w:panose1 w:val="02010600040101010101"/>
    <w:charset w:val="86"/>
    <w:family w:val="auto"/>
    <w:pitch w:val="default"/>
    <w:sig w:usb0="00000000" w:usb1="00000000" w:usb2="00000000" w:usb3="00000000" w:csb0="0004009F" w:csb1="DFD70000"/>
    <w:embedRegular r:id="rId8" w:fontKey="{1586135F-0DC4-4681-9601-B850374CD12A}"/>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zYTU4MzMxNDIzM2U4MjliY2I4ZTg5MTg2MjhjZmYifQ=="/>
  </w:docVars>
  <w:rsids>
    <w:rsidRoot w:val="00A718FF"/>
    <w:rsid w:val="000110DF"/>
    <w:rsid w:val="00034B0E"/>
    <w:rsid w:val="00061411"/>
    <w:rsid w:val="00070C88"/>
    <w:rsid w:val="000F458E"/>
    <w:rsid w:val="00115744"/>
    <w:rsid w:val="00292BAB"/>
    <w:rsid w:val="002B565D"/>
    <w:rsid w:val="002F4706"/>
    <w:rsid w:val="003137BA"/>
    <w:rsid w:val="00404777"/>
    <w:rsid w:val="004A2736"/>
    <w:rsid w:val="004E1592"/>
    <w:rsid w:val="00531D91"/>
    <w:rsid w:val="00543327"/>
    <w:rsid w:val="00623A5E"/>
    <w:rsid w:val="0065032F"/>
    <w:rsid w:val="006756A7"/>
    <w:rsid w:val="00691BCA"/>
    <w:rsid w:val="00890F53"/>
    <w:rsid w:val="0092616A"/>
    <w:rsid w:val="00A718FF"/>
    <w:rsid w:val="00B5313D"/>
    <w:rsid w:val="00BB3B8D"/>
    <w:rsid w:val="00BC7CCD"/>
    <w:rsid w:val="00CD72E5"/>
    <w:rsid w:val="00CD7746"/>
    <w:rsid w:val="00D67EFE"/>
    <w:rsid w:val="00DD2379"/>
    <w:rsid w:val="00E26A00"/>
    <w:rsid w:val="00E51C56"/>
    <w:rsid w:val="00F13AC9"/>
    <w:rsid w:val="00FB4DC1"/>
    <w:rsid w:val="01176EA7"/>
    <w:rsid w:val="0160084E"/>
    <w:rsid w:val="0273010D"/>
    <w:rsid w:val="02F254D6"/>
    <w:rsid w:val="03633C7E"/>
    <w:rsid w:val="038A1BB2"/>
    <w:rsid w:val="03977E2B"/>
    <w:rsid w:val="03E33071"/>
    <w:rsid w:val="04F76DD4"/>
    <w:rsid w:val="053A3164"/>
    <w:rsid w:val="0739034C"/>
    <w:rsid w:val="07B45450"/>
    <w:rsid w:val="089D7C92"/>
    <w:rsid w:val="090B72F2"/>
    <w:rsid w:val="0A375EC4"/>
    <w:rsid w:val="0A4D56E8"/>
    <w:rsid w:val="0BD55995"/>
    <w:rsid w:val="0D9378B6"/>
    <w:rsid w:val="0DBC505E"/>
    <w:rsid w:val="0E625C06"/>
    <w:rsid w:val="0EE505E5"/>
    <w:rsid w:val="0F7C2CF7"/>
    <w:rsid w:val="0FC85F3C"/>
    <w:rsid w:val="0FF07241"/>
    <w:rsid w:val="105570A4"/>
    <w:rsid w:val="10A342B4"/>
    <w:rsid w:val="12411FD6"/>
    <w:rsid w:val="14254722"/>
    <w:rsid w:val="158F4E06"/>
    <w:rsid w:val="162D4D4B"/>
    <w:rsid w:val="174C7453"/>
    <w:rsid w:val="18A86B4D"/>
    <w:rsid w:val="195E346D"/>
    <w:rsid w:val="1AAB4490"/>
    <w:rsid w:val="1AED2CFB"/>
    <w:rsid w:val="1B18764C"/>
    <w:rsid w:val="1C623275"/>
    <w:rsid w:val="1C6C7C4F"/>
    <w:rsid w:val="1DBF50D4"/>
    <w:rsid w:val="1E903E78"/>
    <w:rsid w:val="1FF95C9E"/>
    <w:rsid w:val="200563F1"/>
    <w:rsid w:val="21B24356"/>
    <w:rsid w:val="22364F87"/>
    <w:rsid w:val="22C17101"/>
    <w:rsid w:val="23D42CAA"/>
    <w:rsid w:val="269C55D5"/>
    <w:rsid w:val="27003DB6"/>
    <w:rsid w:val="27DC037F"/>
    <w:rsid w:val="280478D6"/>
    <w:rsid w:val="28972EAE"/>
    <w:rsid w:val="2A866380"/>
    <w:rsid w:val="2B0F281A"/>
    <w:rsid w:val="2B5D3F7C"/>
    <w:rsid w:val="2C35180C"/>
    <w:rsid w:val="2C6E17C2"/>
    <w:rsid w:val="2D0636EB"/>
    <w:rsid w:val="2F6173BC"/>
    <w:rsid w:val="2F754C15"/>
    <w:rsid w:val="2F971705"/>
    <w:rsid w:val="317C672F"/>
    <w:rsid w:val="318F2D1D"/>
    <w:rsid w:val="32F50547"/>
    <w:rsid w:val="33784CD4"/>
    <w:rsid w:val="35011425"/>
    <w:rsid w:val="354632DC"/>
    <w:rsid w:val="35D54660"/>
    <w:rsid w:val="368340BC"/>
    <w:rsid w:val="36AA789A"/>
    <w:rsid w:val="36CF25AE"/>
    <w:rsid w:val="387E0FDF"/>
    <w:rsid w:val="38E86458"/>
    <w:rsid w:val="39186D3D"/>
    <w:rsid w:val="39FA28E7"/>
    <w:rsid w:val="3A5E022F"/>
    <w:rsid w:val="3ABD63E8"/>
    <w:rsid w:val="3E4915E0"/>
    <w:rsid w:val="3EA177D5"/>
    <w:rsid w:val="3FA532F5"/>
    <w:rsid w:val="416C7430"/>
    <w:rsid w:val="41FA1C8B"/>
    <w:rsid w:val="425D7EB7"/>
    <w:rsid w:val="42965BA3"/>
    <w:rsid w:val="429A07C3"/>
    <w:rsid w:val="42F500EF"/>
    <w:rsid w:val="43104F29"/>
    <w:rsid w:val="43291B47"/>
    <w:rsid w:val="442E38B9"/>
    <w:rsid w:val="44E126D9"/>
    <w:rsid w:val="4529478C"/>
    <w:rsid w:val="4530540F"/>
    <w:rsid w:val="47486A40"/>
    <w:rsid w:val="47863A0C"/>
    <w:rsid w:val="49817F72"/>
    <w:rsid w:val="49E07403"/>
    <w:rsid w:val="4A0550BC"/>
    <w:rsid w:val="4A0C644A"/>
    <w:rsid w:val="4A123335"/>
    <w:rsid w:val="4A565917"/>
    <w:rsid w:val="4C204340"/>
    <w:rsid w:val="4C3752D5"/>
    <w:rsid w:val="4C6D21BF"/>
    <w:rsid w:val="4C982217"/>
    <w:rsid w:val="4CCA439B"/>
    <w:rsid w:val="4FE17A31"/>
    <w:rsid w:val="502B33A2"/>
    <w:rsid w:val="51D66DF2"/>
    <w:rsid w:val="520D3CAC"/>
    <w:rsid w:val="528079D5"/>
    <w:rsid w:val="52927709"/>
    <w:rsid w:val="53220A8C"/>
    <w:rsid w:val="533E53A8"/>
    <w:rsid w:val="53E329CC"/>
    <w:rsid w:val="53FB308C"/>
    <w:rsid w:val="54DF6509"/>
    <w:rsid w:val="556A2277"/>
    <w:rsid w:val="559935C9"/>
    <w:rsid w:val="55E77D6B"/>
    <w:rsid w:val="562C1C22"/>
    <w:rsid w:val="58382B00"/>
    <w:rsid w:val="58F05189"/>
    <w:rsid w:val="59044790"/>
    <w:rsid w:val="590F19E8"/>
    <w:rsid w:val="598A2EE8"/>
    <w:rsid w:val="5A252C10"/>
    <w:rsid w:val="5A932270"/>
    <w:rsid w:val="5AAB1367"/>
    <w:rsid w:val="5ADA7E9F"/>
    <w:rsid w:val="5CD5079F"/>
    <w:rsid w:val="5D69550A"/>
    <w:rsid w:val="5E3A023C"/>
    <w:rsid w:val="5ECB022A"/>
    <w:rsid w:val="5ED30E8D"/>
    <w:rsid w:val="5F217E4A"/>
    <w:rsid w:val="5F7A1C50"/>
    <w:rsid w:val="5F9E149B"/>
    <w:rsid w:val="5FE5531C"/>
    <w:rsid w:val="5FEF619A"/>
    <w:rsid w:val="60673F83"/>
    <w:rsid w:val="606A75CF"/>
    <w:rsid w:val="61A92379"/>
    <w:rsid w:val="61B956A8"/>
    <w:rsid w:val="62A9482D"/>
    <w:rsid w:val="64A0163A"/>
    <w:rsid w:val="66091638"/>
    <w:rsid w:val="698060B5"/>
    <w:rsid w:val="6A5C267E"/>
    <w:rsid w:val="6A6E5F0E"/>
    <w:rsid w:val="6B9C2C1E"/>
    <w:rsid w:val="6CDA5ADC"/>
    <w:rsid w:val="6D205BE5"/>
    <w:rsid w:val="6D6830E8"/>
    <w:rsid w:val="6D6C0E2A"/>
    <w:rsid w:val="6D7970A3"/>
    <w:rsid w:val="6D7E0B5E"/>
    <w:rsid w:val="6D8C00B5"/>
    <w:rsid w:val="6DCF13B9"/>
    <w:rsid w:val="6E602011"/>
    <w:rsid w:val="6F10285F"/>
    <w:rsid w:val="703A5210"/>
    <w:rsid w:val="703B4AE4"/>
    <w:rsid w:val="70495453"/>
    <w:rsid w:val="708244C1"/>
    <w:rsid w:val="71542301"/>
    <w:rsid w:val="71C56D5B"/>
    <w:rsid w:val="72275320"/>
    <w:rsid w:val="73813156"/>
    <w:rsid w:val="74DF1EE2"/>
    <w:rsid w:val="7682346D"/>
    <w:rsid w:val="78EF0B61"/>
    <w:rsid w:val="79865022"/>
    <w:rsid w:val="7A454EDD"/>
    <w:rsid w:val="7AA716F4"/>
    <w:rsid w:val="7B42141C"/>
    <w:rsid w:val="7BAA3368"/>
    <w:rsid w:val="7CAC1243"/>
    <w:rsid w:val="7CBE290C"/>
    <w:rsid w:val="7D7D2BE0"/>
    <w:rsid w:val="7EA47CF8"/>
    <w:rsid w:val="7FB36445"/>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360" w:lineRule="auto"/>
    </w:pPr>
    <w:rPr>
      <w:rFonts w:ascii="仿宋_GB2312"/>
      <w:sz w:val="28"/>
    </w:rPr>
  </w:style>
  <w:style w:type="paragraph" w:styleId="3">
    <w:name w:val="Plain Text"/>
    <w:basedOn w:val="1"/>
    <w:link w:val="9"/>
    <w:autoRedefine/>
    <w:qFormat/>
    <w:uiPriority w:val="0"/>
    <w:rPr>
      <w:rFonts w:ascii="宋体" w:hAnsi="Courier New"/>
    </w:rPr>
  </w:style>
  <w:style w:type="paragraph" w:styleId="4">
    <w:name w:val="footer"/>
    <w:basedOn w:val="1"/>
    <w:autoRedefine/>
    <w:unhideWhenUsed/>
    <w:qFormat/>
    <w:uiPriority w:val="99"/>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纯文本 字符"/>
    <w:basedOn w:val="7"/>
    <w:autoRedefine/>
    <w:semiHidden/>
    <w:qFormat/>
    <w:uiPriority w:val="99"/>
    <w:rPr>
      <w:rFonts w:hAnsi="Courier New" w:cs="Courier New" w:asciiTheme="minorEastAsia"/>
    </w:rPr>
  </w:style>
  <w:style w:type="character" w:customStyle="1" w:styleId="9">
    <w:name w:val="纯文本 字符1"/>
    <w:link w:val="3"/>
    <w:autoRedefine/>
    <w:qFormat/>
    <w:uiPriority w:val="0"/>
    <w:rPr>
      <w:rFonts w:ascii="宋体" w:hAnsi="Courier New"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2796</Words>
  <Characters>2936</Characters>
  <Lines>13</Lines>
  <Paragraphs>3</Paragraphs>
  <TotalTime>0</TotalTime>
  <ScaleCrop>false</ScaleCrop>
  <LinksUpToDate>false</LinksUpToDate>
  <CharactersWithSpaces>2945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2021-03-15T07:19:00Z</dcterms:created>
  <dc:creator>Microsoft Office User</dc:creator>
  <cp:lastModifiedBy>陳生壕</cp:lastModifiedBy>
  <cp:lastPrinted>2023-06-14T19:00:00Z</cp:lastPrinted>
  <dcterms:modified xsi:type="dcterms:W3CDTF">2024-04-23T08:13:22Z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265160239_btnclosed</vt:lpwstr>
  </property>
  <property fmtid="{D5CDD505-2E9C-101B-9397-08002B2CF9AE}" pid="3" name="KSOProductBuildVer">
    <vt:lpwstr>2052-12.1.0.16729</vt:lpwstr>
  </property>
  <property fmtid="{D5CDD505-2E9C-101B-9397-08002B2CF9AE}" pid="4" name="ICV">
    <vt:lpwstr>DB9EBB62B3DE41809815545FF254B4E8</vt:lpwstr>
  </property>
</Properties>
</file>