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Arial"/>
          <w:color w:val="auto"/>
          <w:sz w:val="44"/>
          <w:szCs w:val="44"/>
          <w:shd w:val="clear" w:color="auto" w:fill="FFFFFF"/>
          <w:lang w:val="en-US" w:eastAsia="zh-CN"/>
        </w:rPr>
      </w:pPr>
      <w:r>
        <w:rPr>
          <w:rFonts w:hint="eastAsia" w:ascii="方正小标宋_GBK" w:hAnsi="方正小标宋_GBK" w:eastAsia="方正小标宋_GBK" w:cs="Arial"/>
          <w:color w:val="auto"/>
          <w:sz w:val="44"/>
          <w:szCs w:val="44"/>
          <w:shd w:val="clear" w:color="auto" w:fill="FFFFFF"/>
          <w:lang w:val="en-US" w:eastAsia="zh-CN"/>
        </w:rPr>
        <w:t>2024-2026年度</w:t>
      </w:r>
    </w:p>
    <w:p>
      <w:pPr>
        <w:jc w:val="center"/>
        <w:rPr>
          <w:rFonts w:ascii="方正小标宋_GBK" w:hAnsi="方正小标宋_GBK" w:eastAsia="方正小标宋_GBK" w:cs="Arial"/>
          <w:color w:val="auto"/>
          <w:sz w:val="44"/>
          <w:szCs w:val="44"/>
          <w:shd w:val="clear" w:color="auto" w:fill="FFFFFF"/>
        </w:rPr>
      </w:pPr>
      <w:r>
        <w:rPr>
          <w:rFonts w:hint="eastAsia" w:ascii="方正小标宋_GBK" w:hAnsi="方正小标宋_GBK" w:eastAsia="方正小标宋_GBK" w:cs="Arial"/>
          <w:color w:val="auto"/>
          <w:sz w:val="44"/>
          <w:szCs w:val="44"/>
          <w:shd w:val="clear" w:color="auto" w:fill="FFFFFF"/>
        </w:rPr>
        <w:t>鹤山市</w:t>
      </w:r>
      <w:r>
        <w:rPr>
          <w:rFonts w:hint="eastAsia" w:ascii="方正小标宋_GBK" w:hAnsi="方正小标宋_GBK" w:eastAsia="方正小标宋_GBK" w:cs="Arial"/>
          <w:color w:val="auto"/>
          <w:sz w:val="44"/>
          <w:szCs w:val="44"/>
          <w:shd w:val="clear" w:color="auto" w:fill="FFFFFF"/>
          <w:lang w:eastAsia="zh-CN"/>
        </w:rPr>
        <w:t>中</w:t>
      </w:r>
      <w:r>
        <w:rPr>
          <w:rFonts w:hint="eastAsia" w:ascii="方正小标宋_GBK" w:hAnsi="方正小标宋_GBK" w:eastAsia="方正小标宋_GBK" w:cs="Arial"/>
          <w:color w:val="auto"/>
          <w:sz w:val="44"/>
          <w:szCs w:val="44"/>
          <w:shd w:val="clear" w:color="auto" w:fill="FFFFFF"/>
        </w:rPr>
        <w:t>医院医疗责任</w:t>
      </w:r>
      <w:r>
        <w:rPr>
          <w:rFonts w:hint="eastAsia" w:ascii="方正小标宋_GBK" w:hAnsi="方正小标宋_GBK" w:eastAsia="方正小标宋_GBK" w:cs="Arial"/>
          <w:color w:val="auto"/>
          <w:sz w:val="44"/>
          <w:szCs w:val="44"/>
          <w:shd w:val="clear" w:color="auto" w:fill="FFFFFF"/>
          <w:lang w:eastAsia="zh-CN"/>
        </w:rPr>
        <w:t>保</w:t>
      </w:r>
      <w:r>
        <w:rPr>
          <w:rFonts w:hint="eastAsia" w:ascii="方正小标宋_GBK" w:hAnsi="方正小标宋_GBK" w:eastAsia="方正小标宋_GBK" w:cs="Arial"/>
          <w:color w:val="auto"/>
          <w:sz w:val="44"/>
          <w:szCs w:val="44"/>
          <w:shd w:val="clear" w:color="auto" w:fill="FFFFFF"/>
        </w:rPr>
        <w:t>险</w:t>
      </w:r>
      <w:r>
        <w:rPr>
          <w:rFonts w:hint="eastAsia" w:ascii="方正小标宋_GBK" w:hAnsi="方正小标宋_GBK" w:eastAsia="方正小标宋_GBK" w:cs="Arial"/>
          <w:color w:val="auto"/>
          <w:sz w:val="44"/>
          <w:szCs w:val="44"/>
          <w:shd w:val="clear" w:color="auto" w:fill="FFFFFF"/>
          <w:lang w:eastAsia="zh-CN"/>
        </w:rPr>
        <w:t>服务</w:t>
      </w:r>
      <w:r>
        <w:rPr>
          <w:rFonts w:hint="eastAsia" w:ascii="方正小标宋_GBK" w:hAnsi="方正小标宋_GBK" w:eastAsia="方正小标宋_GBK" w:cs="Arial"/>
          <w:color w:val="auto"/>
          <w:sz w:val="44"/>
          <w:szCs w:val="44"/>
          <w:shd w:val="clear" w:color="auto" w:fill="FFFFFF"/>
        </w:rPr>
        <w:t>项目需求</w:t>
      </w:r>
    </w:p>
    <w:p>
      <w:pPr>
        <w:autoSpaceDE w:val="0"/>
        <w:autoSpaceDN w:val="0"/>
        <w:rPr>
          <w:rFonts w:ascii="仿宋_GB2312" w:hAnsi="仿宋" w:eastAsia="仿宋_GB2312" w:cs="仿宋"/>
          <w:b/>
          <w:color w:val="auto"/>
          <w:sz w:val="32"/>
          <w:szCs w:val="32"/>
        </w:rPr>
      </w:pPr>
    </w:p>
    <w:p>
      <w:pPr>
        <w:autoSpaceDE w:val="0"/>
        <w:autoSpaceDN w:val="0"/>
        <w:rPr>
          <w:rFonts w:hint="eastAsia" w:ascii="仿宋_GB2312" w:hAnsi="仿宋" w:eastAsia="仿宋_GB2312" w:cs="仿宋"/>
          <w:color w:val="auto"/>
          <w:sz w:val="32"/>
          <w:szCs w:val="32"/>
          <w:lang w:val="en-US" w:eastAsia="zh-CN"/>
        </w:rPr>
      </w:pPr>
      <w:r>
        <w:rPr>
          <w:rFonts w:hint="eastAsia" w:ascii="仿宋_GB2312" w:hAnsi="仿宋" w:eastAsia="仿宋_GB2312" w:cs="仿宋"/>
          <w:b/>
          <w:color w:val="auto"/>
          <w:sz w:val="32"/>
          <w:szCs w:val="32"/>
        </w:rPr>
        <w:t>一、采购项目名称：</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4－</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6</w:t>
      </w:r>
      <w:r>
        <w:rPr>
          <w:rFonts w:hint="eastAsia" w:ascii="仿宋_GB2312" w:hAnsi="仿宋" w:eastAsia="仿宋_GB2312" w:cs="仿宋"/>
          <w:color w:val="auto"/>
          <w:sz w:val="32"/>
          <w:szCs w:val="32"/>
          <w:u w:val="single"/>
        </w:rPr>
        <w:t>年</w:t>
      </w:r>
      <w:r>
        <w:rPr>
          <w:rFonts w:hint="eastAsia" w:ascii="仿宋_GB2312" w:hAnsi="仿宋" w:eastAsia="仿宋_GB2312" w:cs="仿宋"/>
          <w:color w:val="auto"/>
          <w:sz w:val="32"/>
          <w:szCs w:val="32"/>
          <w:u w:val="single"/>
          <w:lang w:eastAsia="zh-CN"/>
        </w:rPr>
        <w:t>度</w:t>
      </w:r>
      <w:r>
        <w:rPr>
          <w:rFonts w:hint="eastAsia" w:ascii="仿宋_GB2312" w:hAnsi="仿宋" w:eastAsia="仿宋_GB2312" w:cs="仿宋"/>
          <w:color w:val="auto"/>
          <w:sz w:val="32"/>
          <w:szCs w:val="32"/>
          <w:u w:val="single"/>
        </w:rPr>
        <w:t>鹤山市</w:t>
      </w:r>
      <w:r>
        <w:rPr>
          <w:rFonts w:hint="eastAsia" w:ascii="仿宋_GB2312" w:hAnsi="仿宋" w:eastAsia="仿宋_GB2312" w:cs="仿宋"/>
          <w:color w:val="auto"/>
          <w:sz w:val="32"/>
          <w:szCs w:val="32"/>
          <w:u w:val="single"/>
          <w:lang w:eastAsia="zh-CN"/>
        </w:rPr>
        <w:t>中</w:t>
      </w:r>
      <w:r>
        <w:rPr>
          <w:rFonts w:hint="eastAsia" w:ascii="仿宋_GB2312" w:hAnsi="仿宋" w:eastAsia="仿宋_GB2312" w:cs="仿宋"/>
          <w:color w:val="auto"/>
          <w:sz w:val="32"/>
          <w:szCs w:val="32"/>
          <w:u w:val="single"/>
        </w:rPr>
        <w:t>医院医疗责任保险</w:t>
      </w:r>
      <w:r>
        <w:rPr>
          <w:rFonts w:hint="eastAsia" w:ascii="仿宋_GB2312" w:hAnsi="仿宋" w:eastAsia="仿宋_GB2312" w:cs="仿宋"/>
          <w:color w:val="auto"/>
          <w:sz w:val="32"/>
          <w:szCs w:val="32"/>
          <w:u w:val="single"/>
          <w:lang w:eastAsia="zh-CN"/>
        </w:rPr>
        <w:t>服务</w:t>
      </w:r>
      <w:r>
        <w:rPr>
          <w:rFonts w:hint="eastAsia" w:ascii="仿宋_GB2312" w:hAnsi="仿宋" w:eastAsia="仿宋_GB2312" w:cs="仿宋"/>
          <w:color w:val="auto"/>
          <w:sz w:val="32"/>
          <w:szCs w:val="32"/>
        </w:rPr>
        <w:t xml:space="preserve"> </w:t>
      </w:r>
    </w:p>
    <w:p>
      <w:pPr>
        <w:autoSpaceDE w:val="0"/>
        <w:autoSpaceDN w:val="0"/>
        <w:rPr>
          <w:rFonts w:hint="eastAsia" w:ascii="仿宋_GB2312" w:hAnsi="仿宋" w:eastAsia="仿宋_GB2312" w:cs="仿宋"/>
          <w:b/>
          <w:color w:val="auto"/>
          <w:sz w:val="32"/>
          <w:szCs w:val="32"/>
        </w:rPr>
      </w:pPr>
      <w:r>
        <w:rPr>
          <w:rFonts w:hint="eastAsia" w:ascii="仿宋_GB2312" w:hAnsi="仿宋" w:eastAsia="仿宋_GB2312" w:cs="仿宋"/>
          <w:b/>
          <w:color w:val="auto"/>
          <w:sz w:val="32"/>
          <w:szCs w:val="32"/>
        </w:rPr>
        <w:t>二、采购项目预算金额</w:t>
      </w:r>
      <w:r>
        <w:rPr>
          <w:rFonts w:hint="eastAsia" w:ascii="仿宋_GB2312" w:hAnsi="仿宋" w:eastAsia="仿宋_GB2312" w:cs="仿宋"/>
          <w:color w:val="auto"/>
          <w:sz w:val="32"/>
          <w:szCs w:val="32"/>
        </w:rPr>
        <w:t>（元）</w:t>
      </w:r>
      <w:r>
        <w:rPr>
          <w:rFonts w:hint="eastAsia" w:ascii="仿宋_GB2312" w:hAnsi="仿宋" w:eastAsia="仿宋_GB2312" w:cs="仿宋"/>
          <w:b/>
          <w:color w:val="auto"/>
          <w:sz w:val="32"/>
          <w:szCs w:val="32"/>
        </w:rPr>
        <w:t>：</w:t>
      </w:r>
      <w:r>
        <w:rPr>
          <w:rFonts w:hint="eastAsia" w:ascii="仿宋_GB2312" w:hAnsi="仿宋" w:eastAsia="仿宋_GB2312" w:cs="仿宋"/>
          <w:b/>
          <w:color w:val="auto"/>
          <w:sz w:val="32"/>
          <w:szCs w:val="32"/>
          <w:lang w:val="en-US" w:eastAsia="zh-CN"/>
        </w:rPr>
        <w:t>25万元</w:t>
      </w:r>
    </w:p>
    <w:p>
      <w:pPr>
        <w:autoSpaceDE w:val="0"/>
        <w:autoSpaceDN w:val="0"/>
        <w:rPr>
          <w:rFonts w:ascii="仿宋_GB2312" w:hAnsi="仿宋" w:eastAsia="仿宋_GB2312" w:cs="仿宋"/>
          <w:color w:val="auto"/>
          <w:sz w:val="32"/>
          <w:szCs w:val="32"/>
          <w:u w:val="single"/>
        </w:rPr>
      </w:pPr>
      <w:r>
        <w:rPr>
          <w:rFonts w:hint="eastAsia" w:ascii="仿宋_GB2312" w:hAnsi="仿宋" w:eastAsia="仿宋_GB2312" w:cs="仿宋"/>
          <w:b/>
          <w:color w:val="auto"/>
          <w:sz w:val="32"/>
          <w:szCs w:val="32"/>
        </w:rPr>
        <w:t>三、采购数量:</w:t>
      </w: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u w:val="single"/>
        </w:rPr>
        <w:t>1项</w:t>
      </w:r>
    </w:p>
    <w:p>
      <w:pPr>
        <w:autoSpaceDE w:val="0"/>
        <w:autoSpaceDN w:val="0"/>
        <w:rPr>
          <w:rFonts w:ascii="仿宋_GB2312" w:hAnsi="仿宋" w:eastAsia="仿宋_GB2312" w:cs="仿宋"/>
          <w:b/>
          <w:color w:val="auto"/>
          <w:sz w:val="32"/>
          <w:szCs w:val="32"/>
        </w:rPr>
      </w:pPr>
      <w:r>
        <w:rPr>
          <w:rFonts w:hint="eastAsia" w:ascii="仿宋_GB2312" w:hAnsi="仿宋" w:eastAsia="仿宋_GB2312" w:cs="仿宋"/>
          <w:b/>
          <w:color w:val="auto"/>
          <w:sz w:val="32"/>
          <w:szCs w:val="32"/>
        </w:rPr>
        <w:t>四、服务期限：</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4－</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6</w:t>
      </w:r>
      <w:r>
        <w:rPr>
          <w:rFonts w:hint="eastAsia" w:ascii="仿宋_GB2312" w:hAnsi="仿宋" w:eastAsia="仿宋_GB2312" w:cs="仿宋"/>
          <w:color w:val="auto"/>
          <w:sz w:val="32"/>
          <w:szCs w:val="32"/>
          <w:u w:val="single"/>
        </w:rPr>
        <w:t>年度，服务时长为</w:t>
      </w:r>
      <w:r>
        <w:rPr>
          <w:rFonts w:hint="eastAsia" w:ascii="仿宋_GB2312" w:hAnsi="仿宋" w:eastAsia="仿宋_GB2312" w:cs="仿宋"/>
          <w:color w:val="auto"/>
          <w:sz w:val="32"/>
          <w:szCs w:val="32"/>
          <w:u w:val="single"/>
          <w:lang w:eastAsia="zh-CN"/>
        </w:rPr>
        <w:t>贰</w:t>
      </w:r>
      <w:r>
        <w:rPr>
          <w:rFonts w:hint="eastAsia" w:ascii="仿宋_GB2312" w:hAnsi="仿宋" w:eastAsia="仿宋_GB2312" w:cs="仿宋"/>
          <w:color w:val="auto"/>
          <w:sz w:val="32"/>
          <w:szCs w:val="32"/>
          <w:u w:val="single"/>
        </w:rPr>
        <w:t>年</w:t>
      </w:r>
    </w:p>
    <w:p>
      <w:pPr>
        <w:autoSpaceDE w:val="0"/>
        <w:autoSpaceDN w:val="0"/>
        <w:rPr>
          <w:rFonts w:ascii="仿宋_GB2312" w:hAnsi="仿宋" w:eastAsia="仿宋_GB2312" w:cs="仿宋"/>
          <w:color w:val="auto"/>
          <w:sz w:val="32"/>
          <w:szCs w:val="32"/>
        </w:rPr>
      </w:pPr>
      <w:r>
        <w:rPr>
          <w:rFonts w:hint="eastAsia" w:ascii="仿宋_GB2312" w:hAnsi="仿宋" w:eastAsia="仿宋_GB2312" w:cs="仿宋"/>
          <w:b/>
          <w:color w:val="auto"/>
          <w:sz w:val="32"/>
          <w:szCs w:val="32"/>
        </w:rPr>
        <w:t>五、采购项目内容及需求</w:t>
      </w:r>
      <w:r>
        <w:rPr>
          <w:rFonts w:hint="eastAsia" w:ascii="仿宋_GB2312" w:hAnsi="仿宋" w:eastAsia="仿宋_GB2312" w:cs="仿宋"/>
          <w:color w:val="auto"/>
          <w:sz w:val="32"/>
          <w:szCs w:val="32"/>
        </w:rPr>
        <w:t>：</w:t>
      </w:r>
    </w:p>
    <w:p>
      <w:pPr>
        <w:autoSpaceDE w:val="0"/>
        <w:autoSpaceDN w:val="0"/>
        <w:ind w:left="59" w:leftChars="28" w:firstLine="640" w:firstLineChars="200"/>
        <w:rPr>
          <w:rFonts w:ascii="仿宋_GB2312" w:hAnsi="仿宋" w:eastAsia="仿宋_GB2312" w:cs="仿宋"/>
          <w:bCs/>
          <w:color w:val="auto"/>
          <w:sz w:val="32"/>
          <w:szCs w:val="32"/>
        </w:rPr>
      </w:pPr>
      <w:r>
        <w:rPr>
          <w:rFonts w:hint="eastAsia" w:ascii="仿宋_GB2312" w:hAnsi="仿宋" w:eastAsia="仿宋_GB2312" w:cs="仿宋"/>
          <w:color w:val="auto"/>
          <w:sz w:val="32"/>
          <w:szCs w:val="32"/>
        </w:rPr>
        <w:t>本项目采购内容为鹤山市</w:t>
      </w:r>
      <w:r>
        <w:rPr>
          <w:rFonts w:hint="eastAsia" w:ascii="仿宋_GB2312" w:hAnsi="仿宋" w:eastAsia="仿宋_GB2312" w:cs="仿宋"/>
          <w:color w:val="auto"/>
          <w:sz w:val="32"/>
          <w:szCs w:val="32"/>
          <w:lang w:eastAsia="zh-CN"/>
        </w:rPr>
        <w:t>中医院</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4－</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6年度</w:t>
      </w:r>
      <w:r>
        <w:rPr>
          <w:rFonts w:hint="eastAsia" w:ascii="仿宋_GB2312" w:hAnsi="仿宋" w:eastAsia="仿宋_GB2312" w:cs="仿宋"/>
          <w:color w:val="auto"/>
          <w:sz w:val="32"/>
          <w:szCs w:val="32"/>
        </w:rPr>
        <w:t>医疗责任保险服务项目采购。报价供应商不得将本项目中的内容拆散来投标。</w:t>
      </w:r>
    </w:p>
    <w:p>
      <w:pPr>
        <w:rPr>
          <w:rFonts w:hint="eastAsia" w:ascii="仿宋_GB2312" w:hAnsi="仿宋" w:eastAsia="仿宋_GB2312" w:cs="仿宋"/>
          <w:color w:val="auto"/>
          <w:sz w:val="32"/>
          <w:szCs w:val="32"/>
        </w:rPr>
      </w:pPr>
      <w:r>
        <w:rPr>
          <w:rFonts w:hint="eastAsia" w:ascii="仿宋_GB2312" w:hAnsi="仿宋" w:eastAsia="仿宋_GB2312" w:cs="仿宋"/>
          <w:b/>
          <w:color w:val="auto"/>
          <w:sz w:val="32"/>
          <w:szCs w:val="32"/>
        </w:rPr>
        <w:t>六、服务供应商资格要求</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、落实政府采购政策需满足的资格要求：本项目不属于专门面向中小企业采购的项目；</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、本项目的特定资格要求：</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应当具备《中华人民共和国政府采购法》第二十二条规定的条件；</w:t>
      </w:r>
    </w:p>
    <w:p>
      <w:pPr>
        <w:autoSpaceDE w:val="0"/>
        <w:autoSpaceDN w:val="0"/>
        <w:ind w:left="59" w:leftChars="28" w:firstLine="960" w:firstLineChars="300"/>
        <w:rPr>
          <w:rFonts w:hint="eastAsia" w:ascii="仿宋_GB2312" w:hAnsi="仿宋" w:eastAsia="仿宋_GB2312" w:cs="仿宋"/>
          <w:color w:val="auto"/>
          <w:sz w:val="32"/>
          <w:szCs w:val="32"/>
        </w:rPr>
      </w:pPr>
      <w:r>
        <w:rPr>
          <w:rFonts w:hint="default" w:ascii="Calibri" w:hAnsi="Calibri" w:eastAsia="仿宋_GB2312" w:cs="Calibri"/>
          <w:color w:val="auto"/>
          <w:sz w:val="32"/>
          <w:szCs w:val="32"/>
        </w:rPr>
        <w:t>①</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应当是具有独立承担民事责任能力</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在中华人民共和国境内注册的法人或者其他组织；（提供有效的营业执照或相关单位登记证书复印件。若分支机构投标的，应当取得总公司（总所）出具给分支机构的有效授权，并同时提供总公司（总所）的营业执照、总公司（总所）出具给分支机构的有效授权书及分支机构的营业执照复印件。已取得总公司（总所）授权的，总公司（总所）取得的相关资质证书对分支机构有效，法律法规或者行业另有规定的除外）</w:t>
      </w:r>
    </w:p>
    <w:p>
      <w:pPr>
        <w:autoSpaceDE w:val="0"/>
        <w:autoSpaceDN w:val="0"/>
        <w:ind w:left="59" w:leftChars="28" w:firstLine="960" w:firstLineChars="300"/>
        <w:rPr>
          <w:rFonts w:hint="eastAsia" w:ascii="仿宋_GB2312" w:hAnsi="仿宋" w:eastAsia="仿宋_GB2312" w:cs="仿宋"/>
          <w:color w:val="auto"/>
          <w:sz w:val="32"/>
          <w:szCs w:val="32"/>
        </w:rPr>
      </w:pPr>
      <w:r>
        <w:rPr>
          <w:rFonts w:hint="default" w:ascii="Calibri" w:hAnsi="Calibri" w:eastAsia="仿宋_GB2312" w:cs="Calibri"/>
          <w:color w:val="auto"/>
          <w:sz w:val="32"/>
          <w:szCs w:val="32"/>
        </w:rPr>
        <w:t>②</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应当具有良好的商业信誉和健全的财务会计制度；</w:t>
      </w:r>
    </w:p>
    <w:p>
      <w:pPr>
        <w:autoSpaceDE w:val="0"/>
        <w:autoSpaceDN w:val="0"/>
        <w:ind w:left="59" w:leftChars="28" w:firstLine="960" w:firstLineChars="300"/>
        <w:rPr>
          <w:rFonts w:hint="eastAsia" w:ascii="仿宋_GB2312" w:hAnsi="仿宋" w:eastAsia="仿宋_GB2312" w:cs="仿宋"/>
          <w:color w:val="auto"/>
          <w:sz w:val="32"/>
          <w:szCs w:val="32"/>
        </w:rPr>
      </w:pPr>
      <w:r>
        <w:rPr>
          <w:rFonts w:hint="default" w:ascii="Calibri" w:hAnsi="Calibri" w:eastAsia="仿宋_GB2312" w:cs="Calibri"/>
          <w:color w:val="auto"/>
          <w:sz w:val="32"/>
          <w:szCs w:val="32"/>
        </w:rPr>
        <w:t>③</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应当具有履行合同所必需的设备和专业技术能力；</w:t>
      </w:r>
    </w:p>
    <w:p>
      <w:pPr>
        <w:autoSpaceDE w:val="0"/>
        <w:autoSpaceDN w:val="0"/>
        <w:ind w:left="59" w:leftChars="28" w:firstLine="960" w:firstLineChars="300"/>
        <w:rPr>
          <w:rFonts w:hint="eastAsia" w:ascii="仿宋_GB2312" w:hAnsi="仿宋" w:eastAsia="仿宋_GB2312" w:cs="仿宋"/>
          <w:color w:val="auto"/>
          <w:sz w:val="32"/>
          <w:szCs w:val="32"/>
        </w:rPr>
      </w:pPr>
      <w:r>
        <w:rPr>
          <w:rFonts w:hint="eastAsia" w:ascii="微软雅黑" w:hAnsi="微软雅黑" w:eastAsia="微软雅黑" w:cs="微软雅黑"/>
          <w:color w:val="auto"/>
          <w:sz w:val="32"/>
          <w:szCs w:val="32"/>
        </w:rPr>
        <w:t>④</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应当有依法缴纳税收和社会保障资金的良好记录；</w:t>
      </w:r>
    </w:p>
    <w:p>
      <w:pPr>
        <w:autoSpaceDE w:val="0"/>
        <w:autoSpaceDN w:val="0"/>
        <w:ind w:left="59" w:leftChars="28" w:firstLine="960" w:firstLineChars="300"/>
        <w:rPr>
          <w:rFonts w:hint="eastAsia" w:ascii="仿宋_GB2312" w:hAnsi="仿宋" w:eastAsia="仿宋_GB2312" w:cs="仿宋"/>
          <w:color w:val="auto"/>
          <w:sz w:val="32"/>
          <w:szCs w:val="32"/>
        </w:rPr>
      </w:pPr>
      <w:r>
        <w:rPr>
          <w:rFonts w:hint="eastAsia" w:ascii="微软雅黑" w:hAnsi="微软雅黑" w:eastAsia="微软雅黑" w:cs="微软雅黑"/>
          <w:color w:val="auto"/>
          <w:sz w:val="32"/>
          <w:szCs w:val="32"/>
        </w:rPr>
        <w:t>⑤</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参加招标采购活动前三年内，在经营活动中没有重大违法记录；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pPr>
        <w:autoSpaceDE w:val="0"/>
        <w:autoSpaceDN w:val="0"/>
        <w:ind w:left="59" w:leftChars="28" w:firstLine="960" w:firstLineChars="300"/>
        <w:rPr>
          <w:rFonts w:hint="eastAsia" w:ascii="仿宋_GB2312" w:hAnsi="仿宋" w:eastAsia="仿宋_GB2312" w:cs="仿宋"/>
          <w:color w:val="auto"/>
          <w:sz w:val="32"/>
          <w:szCs w:val="32"/>
        </w:rPr>
      </w:pPr>
      <w:r>
        <w:rPr>
          <w:rFonts w:hint="eastAsia" w:ascii="微软雅黑" w:hAnsi="微软雅黑" w:eastAsia="微软雅黑" w:cs="微软雅黑"/>
          <w:color w:val="auto"/>
          <w:sz w:val="32"/>
          <w:szCs w:val="32"/>
        </w:rPr>
        <w:t>⑥</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应当符合法律、行政法规规定的其他条件。</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应当具有原中国保险监督管理委员会（银行保险监管机构改革后有新政策的，以新政策为准）颁发的经营保险业务许可证，且经营业务范围包括责任保险；</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（4）单位负责人为同一人或者存在直接控股、管理关系的不同供应商，不得参加同一合同项下的招标采购活动；</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（5）为本项目提供整体设计、规范编制或者项目管理、监理、检测等服务的供应商，不得再参加该采购项目的其他采购活动；</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（6）本项目不接受联合体投标。</w:t>
      </w:r>
    </w:p>
    <w:p>
      <w:pPr>
        <w:rPr>
          <w:rFonts w:ascii="仿宋_GB2312" w:hAnsi="仿宋" w:eastAsia="仿宋_GB2312" w:cs="仿宋"/>
          <w:b/>
          <w:color w:val="auto"/>
          <w:sz w:val="32"/>
          <w:szCs w:val="32"/>
        </w:rPr>
      </w:pPr>
    </w:p>
    <w:p>
      <w:pPr>
        <w:rPr>
          <w:rFonts w:ascii="仿宋_GB2312" w:hAnsi="仿宋" w:eastAsia="仿宋_GB2312" w:cs="仿宋"/>
          <w:b/>
          <w:color w:val="auto"/>
          <w:sz w:val="32"/>
          <w:szCs w:val="32"/>
        </w:rPr>
      </w:pPr>
      <w:r>
        <w:rPr>
          <w:rFonts w:hint="eastAsia" w:ascii="仿宋_GB2312" w:hAnsi="仿宋" w:eastAsia="仿宋_GB2312" w:cs="仿宋"/>
          <w:b/>
          <w:color w:val="auto"/>
          <w:sz w:val="32"/>
          <w:szCs w:val="32"/>
        </w:rPr>
        <w:t>七、保险服务方案要求</w:t>
      </w:r>
    </w:p>
    <w:p>
      <w:pPr>
        <w:ind w:firstLine="640" w:firstLineChars="200"/>
        <w:rPr>
          <w:rFonts w:ascii="仿宋_GB2312" w:hAnsi="仿宋" w:eastAsia="仿宋_GB2312" w:cs="仿宋"/>
          <w:b/>
          <w:color w:val="auto"/>
          <w:sz w:val="32"/>
          <w:szCs w:val="32"/>
        </w:rPr>
      </w:pPr>
      <w:r>
        <w:rPr>
          <w:rFonts w:hint="eastAsia" w:ascii="仿宋_GB2312" w:hAnsi="仿宋" w:eastAsia="仿宋_GB2312" w:cs="仿宋"/>
          <w:color w:val="auto"/>
          <w:sz w:val="32"/>
          <w:szCs w:val="32"/>
        </w:rPr>
        <w:t>1.保险类别</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主  险：医疗责任险</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附加险：</w:t>
      </w:r>
      <w:r>
        <w:rPr>
          <w:rFonts w:hint="eastAsia" w:ascii="仿宋_GB2312" w:hAnsi="仿宋" w:eastAsia="仿宋_GB2312" w:cs="仿宋"/>
          <w:color w:val="auto"/>
          <w:sz w:val="32"/>
          <w:szCs w:val="32"/>
          <w:lang w:val="en-GB"/>
        </w:rPr>
        <w:t>医务人员人身伤害责任保险</w:t>
      </w:r>
    </w:p>
    <w:p>
      <w:pPr>
        <w:ind w:left="420" w:leftChars="200" w:firstLine="160" w:firstLineChars="50"/>
        <w:rPr>
          <w:rFonts w:ascii="仿宋_GB2312" w:hAnsi="仿宋" w:eastAsia="仿宋_GB2312" w:cs="仿宋"/>
          <w:color w:val="auto"/>
          <w:sz w:val="32"/>
          <w:szCs w:val="32"/>
        </w:rPr>
      </w:pPr>
      <w:r>
        <w:rPr>
          <w:rFonts w:hint="eastAsia" w:ascii="仿宋_GB2312" w:hAnsi="仿宋" w:eastAsia="仿宋_GB2312" w:cs="仿宋"/>
          <w:color w:val="auto"/>
          <w:sz w:val="32"/>
          <w:szCs w:val="32"/>
        </w:rPr>
        <w:t>2.保险期限</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保险期限为</w:t>
      </w:r>
      <w:r>
        <w:rPr>
          <w:rFonts w:hint="eastAsia" w:ascii="仿宋_GB2312" w:hAnsi="仿宋" w:eastAsia="仿宋_GB2312" w:cs="仿宋"/>
          <w:color w:val="auto"/>
          <w:sz w:val="32"/>
          <w:szCs w:val="32"/>
          <w:lang w:val="en-US" w:eastAsia="zh-CN"/>
        </w:rPr>
        <w:t>24</w:t>
      </w:r>
      <w:r>
        <w:rPr>
          <w:rFonts w:hint="eastAsia" w:ascii="仿宋_GB2312" w:hAnsi="仿宋" w:eastAsia="仿宋_GB2312" w:cs="仿宋"/>
          <w:color w:val="auto"/>
          <w:sz w:val="32"/>
          <w:szCs w:val="32"/>
        </w:rPr>
        <w:t>个月(起保日期以保单为准）</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3.保险金额（货币均为人民币）</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主  险：</w:t>
      </w:r>
      <w:r>
        <w:rPr>
          <w:rFonts w:hint="eastAsia" w:ascii="仿宋_GB2312" w:hAnsi="仿宋" w:eastAsia="仿宋_GB2312" w:cs="仿宋"/>
          <w:color w:val="auto"/>
          <w:sz w:val="32"/>
          <w:szCs w:val="32"/>
          <w:lang w:eastAsia="zh-CN"/>
        </w:rPr>
        <w:t>医疗责任每人责任限额：伍拾万元</w:t>
      </w:r>
      <w:r>
        <w:rPr>
          <w:rFonts w:hint="eastAsia" w:ascii="仿宋_GB2312" w:hAnsi="仿宋" w:eastAsia="仿宋_GB2312" w:cs="仿宋"/>
          <w:color w:val="auto"/>
          <w:sz w:val="32"/>
          <w:szCs w:val="32"/>
          <w:lang w:val="en-GB" w:eastAsia="zh-CN"/>
        </w:rPr>
        <w:t>，</w:t>
      </w:r>
      <w:r>
        <w:rPr>
          <w:rFonts w:hint="eastAsia" w:ascii="仿宋_GB2312" w:hAnsi="仿宋" w:eastAsia="仿宋_GB2312" w:cs="仿宋"/>
          <w:color w:val="auto"/>
          <w:sz w:val="32"/>
          <w:szCs w:val="32"/>
        </w:rPr>
        <w:t>保险期限内累计赔偿限额</w:t>
      </w:r>
      <w:r>
        <w:rPr>
          <w:rFonts w:hint="eastAsia" w:ascii="仿宋_GB2312" w:hAnsi="仿宋" w:eastAsia="仿宋_GB2312" w:cs="仿宋"/>
          <w:color w:val="auto"/>
          <w:sz w:val="32"/>
          <w:szCs w:val="32"/>
          <w:lang w:val="en-US" w:eastAsia="zh-CN"/>
        </w:rPr>
        <w:t>叁佰</w:t>
      </w:r>
      <w:r>
        <w:rPr>
          <w:rFonts w:hint="eastAsia" w:ascii="仿宋_GB2312" w:hAnsi="仿宋" w:eastAsia="仿宋_GB2312" w:cs="仿宋"/>
          <w:color w:val="auto"/>
          <w:sz w:val="32"/>
          <w:szCs w:val="32"/>
        </w:rPr>
        <w:t>万元/年</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GB" w:eastAsia="zh-CN"/>
        </w:rPr>
        <w:t>不设免赔额</w:t>
      </w:r>
      <w:r>
        <w:rPr>
          <w:rFonts w:hint="eastAsia" w:ascii="仿宋_GB2312" w:hAnsi="仿宋" w:eastAsia="仿宋_GB2312" w:cs="仿宋"/>
          <w:color w:val="auto"/>
          <w:sz w:val="32"/>
          <w:szCs w:val="32"/>
        </w:rPr>
        <w:t>；法律</w:t>
      </w:r>
      <w:r>
        <w:rPr>
          <w:rFonts w:hint="eastAsia" w:ascii="仿宋_GB2312" w:hAnsi="仿宋" w:eastAsia="仿宋_GB2312" w:cs="仿宋"/>
          <w:color w:val="auto"/>
          <w:sz w:val="32"/>
          <w:szCs w:val="32"/>
          <w:lang w:eastAsia="zh-CN"/>
        </w:rPr>
        <w:t>费用每次事故责任限额：伍万元，</w:t>
      </w:r>
      <w:r>
        <w:rPr>
          <w:rFonts w:hint="eastAsia" w:ascii="仿宋_GB2312" w:hAnsi="仿宋" w:eastAsia="仿宋_GB2312" w:cs="仿宋"/>
          <w:color w:val="auto"/>
          <w:sz w:val="32"/>
          <w:szCs w:val="32"/>
        </w:rPr>
        <w:t>累计赔偿限额</w:t>
      </w:r>
      <w:r>
        <w:rPr>
          <w:rFonts w:hint="eastAsia" w:ascii="仿宋_GB2312" w:hAnsi="仿宋" w:eastAsia="仿宋_GB2312" w:cs="仿宋"/>
          <w:color w:val="auto"/>
          <w:sz w:val="32"/>
          <w:szCs w:val="32"/>
          <w:lang w:val="en-US" w:eastAsia="zh-CN"/>
        </w:rPr>
        <w:t>伍拾</w:t>
      </w:r>
      <w:r>
        <w:rPr>
          <w:rFonts w:hint="eastAsia" w:ascii="仿宋_GB2312" w:hAnsi="仿宋" w:eastAsia="仿宋_GB2312" w:cs="仿宋"/>
          <w:color w:val="auto"/>
          <w:sz w:val="32"/>
          <w:szCs w:val="32"/>
        </w:rPr>
        <w:t>万元/年</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GB" w:eastAsia="zh-CN"/>
        </w:rPr>
        <w:t>不设免赔额</w:t>
      </w:r>
      <w:r>
        <w:rPr>
          <w:rFonts w:hint="eastAsia" w:ascii="仿宋_GB2312" w:hAnsi="仿宋" w:eastAsia="仿宋_GB2312" w:cs="仿宋"/>
          <w:color w:val="auto"/>
          <w:sz w:val="32"/>
          <w:szCs w:val="32"/>
          <w:lang w:eastAsia="zh-CN"/>
        </w:rPr>
        <w:t>。</w:t>
      </w:r>
    </w:p>
    <w:p>
      <w:pPr>
        <w:tabs>
          <w:tab w:val="left" w:pos="360"/>
        </w:tabs>
        <w:ind w:left="63" w:leftChars="30"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GB" w:eastAsia="zh-CN"/>
        </w:rPr>
        <w:t>（</w:t>
      </w:r>
      <w:r>
        <w:rPr>
          <w:rFonts w:hint="eastAsia" w:ascii="仿宋_GB2312" w:hAnsi="仿宋" w:eastAsia="仿宋_GB2312" w:cs="仿宋"/>
          <w:color w:val="auto"/>
          <w:sz w:val="32"/>
          <w:szCs w:val="32"/>
          <w:lang w:eastAsia="zh-CN"/>
        </w:rPr>
        <w:t>法律费用包括：事故鉴定费、仲裁或诉讼费、律师费等。</w:t>
      </w:r>
      <w:r>
        <w:rPr>
          <w:rFonts w:hint="eastAsia" w:ascii="仿宋_GB2312" w:hAnsi="仿宋" w:eastAsia="仿宋_GB2312" w:cs="仿宋"/>
          <w:color w:val="auto"/>
          <w:sz w:val="32"/>
          <w:szCs w:val="32"/>
          <w:lang w:val="en-GB" w:eastAsia="zh-CN"/>
        </w:rPr>
        <w:t>）</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附加险：</w:t>
      </w:r>
      <w:r>
        <w:rPr>
          <w:rFonts w:hint="eastAsia" w:ascii="仿宋_GB2312" w:hAnsi="仿宋" w:eastAsia="仿宋_GB2312" w:cs="仿宋"/>
          <w:color w:val="auto"/>
          <w:sz w:val="32"/>
          <w:szCs w:val="32"/>
          <w:lang w:val="en-GB"/>
        </w:rPr>
        <w:t>医务人员人身伤害责任保险</w:t>
      </w:r>
      <w:r>
        <w:rPr>
          <w:rFonts w:hint="eastAsia" w:ascii="仿宋_GB2312" w:hAnsi="仿宋" w:eastAsia="仿宋_GB2312" w:cs="仿宋"/>
          <w:color w:val="auto"/>
          <w:sz w:val="32"/>
          <w:szCs w:val="32"/>
          <w:lang w:val="en-GB" w:eastAsia="zh-CN"/>
        </w:rPr>
        <w:t>，</w:t>
      </w:r>
      <w:r>
        <w:rPr>
          <w:rFonts w:hint="eastAsia" w:ascii="仿宋_GB2312" w:hAnsi="仿宋" w:eastAsia="仿宋_GB2312" w:cs="仿宋"/>
          <w:color w:val="auto"/>
          <w:sz w:val="32"/>
          <w:szCs w:val="32"/>
          <w:lang w:val="en-GB"/>
        </w:rPr>
        <w:t>医务人员的每人每次责任限额≥20万元。</w:t>
      </w:r>
      <w:r>
        <w:rPr>
          <w:rFonts w:hint="eastAsia" w:ascii="仿宋_GB2312" w:hAnsi="仿宋" w:eastAsia="仿宋_GB2312" w:cs="仿宋"/>
          <w:color w:val="auto"/>
          <w:sz w:val="32"/>
          <w:szCs w:val="32"/>
        </w:rPr>
        <w:t>发生死亡者，赔偿限额20万元/人。</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附加险：</w:t>
      </w:r>
      <w:r>
        <w:rPr>
          <w:rFonts w:hint="eastAsia" w:ascii="仿宋_GB2312" w:hAnsi="仿宋" w:eastAsia="仿宋_GB2312" w:cs="仿宋"/>
          <w:color w:val="auto"/>
          <w:sz w:val="32"/>
          <w:szCs w:val="32"/>
          <w:lang w:eastAsia="zh-CN"/>
        </w:rPr>
        <w:t>外请医务人员医疗责任保险、进修医务人员医疗责任保险、实习生医疗责任保险</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约35人</w:t>
      </w:r>
      <w:r>
        <w:rPr>
          <w:rFonts w:hint="eastAsia" w:ascii="仿宋_GB2312" w:hAnsi="仿宋" w:eastAsia="仿宋_GB2312" w:cs="仿宋"/>
          <w:color w:val="auto"/>
          <w:sz w:val="32"/>
          <w:szCs w:val="32"/>
          <w:highlight w:val="none"/>
          <w:lang w:eastAsia="zh-CN"/>
        </w:rPr>
        <w:t>）</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.服务供应商须建立简易理赔机制,对于索赔金额不超人民币</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万元的</w:t>
      </w:r>
      <w:r>
        <w:rPr>
          <w:rFonts w:hint="eastAsia" w:ascii="仿宋_GB2312" w:hAnsi="仿宋" w:eastAsia="仿宋_GB2312" w:cs="仿宋"/>
          <w:color w:val="auto"/>
          <w:sz w:val="32"/>
          <w:szCs w:val="32"/>
          <w:lang w:eastAsia="zh-CN"/>
        </w:rPr>
        <w:t>医疗责任</w:t>
      </w:r>
      <w:r>
        <w:rPr>
          <w:rFonts w:hint="eastAsia" w:ascii="仿宋_GB2312" w:hAnsi="仿宋" w:eastAsia="仿宋_GB2312" w:cs="仿宋"/>
          <w:color w:val="auto"/>
          <w:sz w:val="32"/>
          <w:szCs w:val="32"/>
        </w:rPr>
        <w:t>,属于本保单保险责任内,经医患双方协商或者</w:t>
      </w:r>
      <w:r>
        <w:rPr>
          <w:rFonts w:hint="eastAsia" w:ascii="仿宋_GB2312" w:hAnsi="仿宋" w:eastAsia="仿宋_GB2312" w:cs="仿宋"/>
          <w:color w:val="auto"/>
          <w:sz w:val="32"/>
          <w:szCs w:val="32"/>
          <w:lang w:eastAsia="zh-CN"/>
        </w:rPr>
        <w:t>医疗责任调解室</w:t>
      </w:r>
      <w:r>
        <w:rPr>
          <w:rFonts w:hint="eastAsia" w:ascii="仿宋_GB2312" w:hAnsi="仿宋" w:eastAsia="仿宋_GB2312" w:cs="仿宋"/>
          <w:color w:val="auto"/>
          <w:sz w:val="32"/>
          <w:szCs w:val="32"/>
        </w:rPr>
        <w:t>调解解决的，实行简易快速理赔。在保险期限内,年累计赔偿限额为人民币</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万元,并在</w:t>
      </w:r>
      <w:r>
        <w:rPr>
          <w:rFonts w:hint="eastAsia" w:ascii="仿宋_GB2312" w:hAnsi="仿宋" w:eastAsia="仿宋_GB2312" w:cs="仿宋"/>
          <w:color w:val="auto"/>
          <w:sz w:val="32"/>
          <w:szCs w:val="32"/>
          <w:lang w:eastAsia="zh-CN"/>
        </w:rPr>
        <w:t>医疗责任</w:t>
      </w:r>
      <w:r>
        <w:rPr>
          <w:rFonts w:hint="eastAsia" w:ascii="仿宋_GB2312" w:hAnsi="仿宋" w:eastAsia="仿宋_GB2312" w:cs="仿宋"/>
          <w:color w:val="auto"/>
          <w:sz w:val="32"/>
          <w:szCs w:val="32"/>
        </w:rPr>
        <w:t>的赔偿限额内计赔。</w:t>
      </w:r>
    </w:p>
    <w:p>
      <w:pPr>
        <w:pStyle w:val="4"/>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在采购方提出需求时，保险服务提供商指定专人负责对接医院服务,包括收集整理理赔资料、参加</w:t>
      </w:r>
      <w:r>
        <w:rPr>
          <w:rFonts w:hint="eastAsia" w:ascii="仿宋_GB2312" w:hAnsi="仿宋" w:eastAsia="仿宋_GB2312" w:cs="仿宋"/>
          <w:color w:val="auto"/>
          <w:sz w:val="32"/>
          <w:szCs w:val="32"/>
          <w:lang w:eastAsia="zh-CN"/>
        </w:rPr>
        <w:t>医疗责任</w:t>
      </w:r>
      <w:r>
        <w:rPr>
          <w:rFonts w:hint="eastAsia" w:ascii="仿宋_GB2312" w:hAnsi="仿宋" w:eastAsia="仿宋_GB2312" w:cs="仿宋"/>
          <w:color w:val="auto"/>
          <w:sz w:val="32"/>
          <w:szCs w:val="32"/>
        </w:rPr>
        <w:t>调解或者作为代理人代表医院到</w:t>
      </w:r>
      <w:r>
        <w:rPr>
          <w:rFonts w:hint="eastAsia" w:ascii="仿宋_GB2312" w:hAnsi="仿宋" w:eastAsia="仿宋_GB2312" w:cs="仿宋"/>
          <w:color w:val="auto"/>
          <w:sz w:val="32"/>
          <w:szCs w:val="32"/>
          <w:lang w:eastAsia="zh-CN"/>
        </w:rPr>
        <w:t>医疗责任调解室</w:t>
      </w:r>
      <w:r>
        <w:rPr>
          <w:rFonts w:hint="eastAsia" w:ascii="仿宋_GB2312" w:hAnsi="仿宋" w:eastAsia="仿宋_GB2312" w:cs="仿宋"/>
          <w:color w:val="auto"/>
          <w:sz w:val="32"/>
          <w:szCs w:val="32"/>
        </w:rPr>
        <w:t>参加调解工作。</w:t>
      </w:r>
    </w:p>
    <w:p>
      <w:pPr>
        <w:pStyle w:val="4"/>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6.承保基础</w:t>
      </w:r>
    </w:p>
    <w:p>
      <w:pPr>
        <w:pStyle w:val="4"/>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本次医责险承保基础约定为“期内索赔制”，在保险有效期内发生保险责任范围内的保险责任事件时，保险公司负责赔偿。要求提供追溯期范围及最长的追溯期。</w:t>
      </w:r>
    </w:p>
    <w:p>
      <w:pPr>
        <w:tabs>
          <w:tab w:val="left" w:pos="312"/>
        </w:tabs>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.服务供应商须具备专门的售后服务小组，服务小组须提供上门现场服务，接到报案后根据医院需求，2小时内派专人到医院现场协助医疗</w:t>
      </w:r>
      <w:r>
        <w:rPr>
          <w:rFonts w:hint="eastAsia" w:ascii="仿宋_GB2312" w:hAnsi="仿宋" w:eastAsia="仿宋_GB2312" w:cs="仿宋"/>
          <w:color w:val="auto"/>
          <w:sz w:val="32"/>
          <w:szCs w:val="32"/>
          <w:lang w:eastAsia="zh-CN"/>
        </w:rPr>
        <w:t>责任</w:t>
      </w:r>
      <w:r>
        <w:rPr>
          <w:rFonts w:hint="eastAsia" w:ascii="仿宋_GB2312" w:hAnsi="仿宋" w:eastAsia="仿宋_GB2312" w:cs="仿宋"/>
          <w:color w:val="auto"/>
          <w:sz w:val="32"/>
          <w:szCs w:val="32"/>
        </w:rPr>
        <w:t>调解工作。小组成员除一般的保险理赔人员外，还须有参加医疗</w:t>
      </w:r>
      <w:r>
        <w:rPr>
          <w:rFonts w:hint="eastAsia" w:ascii="仿宋_GB2312" w:hAnsi="仿宋" w:eastAsia="仿宋_GB2312" w:cs="仿宋"/>
          <w:color w:val="auto"/>
          <w:sz w:val="32"/>
          <w:szCs w:val="32"/>
          <w:lang w:eastAsia="zh-CN"/>
        </w:rPr>
        <w:t>责任</w:t>
      </w:r>
      <w:r>
        <w:rPr>
          <w:rFonts w:hint="eastAsia" w:ascii="仿宋_GB2312" w:hAnsi="仿宋" w:eastAsia="仿宋_GB2312" w:cs="仿宋"/>
          <w:color w:val="auto"/>
          <w:sz w:val="32"/>
          <w:szCs w:val="32"/>
        </w:rPr>
        <w:t>调解经历或者医学、法律相关专业人员，并提供相应人员资质资料。若服务供应商未能按时限要求进行服务响应，当该宗医疗</w:t>
      </w:r>
      <w:r>
        <w:rPr>
          <w:rFonts w:hint="eastAsia" w:ascii="仿宋_GB2312" w:hAnsi="仿宋" w:eastAsia="仿宋_GB2312" w:cs="仿宋"/>
          <w:color w:val="auto"/>
          <w:sz w:val="32"/>
          <w:szCs w:val="32"/>
          <w:lang w:eastAsia="zh-CN"/>
        </w:rPr>
        <w:t>责任</w:t>
      </w:r>
      <w:r>
        <w:rPr>
          <w:rFonts w:hint="eastAsia" w:ascii="仿宋_GB2312" w:hAnsi="仿宋" w:eastAsia="仿宋_GB2312" w:cs="仿宋"/>
          <w:color w:val="auto"/>
          <w:sz w:val="32"/>
          <w:szCs w:val="32"/>
        </w:rPr>
        <w:t>案件发生实际赔付，采购方对该宗医疗</w:t>
      </w:r>
      <w:r>
        <w:rPr>
          <w:rFonts w:hint="eastAsia" w:ascii="仿宋_GB2312" w:hAnsi="仿宋" w:eastAsia="仿宋_GB2312" w:cs="仿宋"/>
          <w:color w:val="auto"/>
          <w:sz w:val="32"/>
          <w:szCs w:val="32"/>
          <w:lang w:eastAsia="zh-CN"/>
        </w:rPr>
        <w:t>责任</w:t>
      </w:r>
      <w:r>
        <w:rPr>
          <w:rFonts w:hint="eastAsia" w:ascii="仿宋_GB2312" w:hAnsi="仿宋" w:eastAsia="仿宋_GB2312" w:cs="仿宋"/>
          <w:color w:val="auto"/>
          <w:sz w:val="32"/>
          <w:szCs w:val="32"/>
        </w:rPr>
        <w:t>案件申请服务理赔时，不设免赔额度（即免赔额为0）。</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.服务供应商必须具备</w:t>
      </w:r>
      <w:r>
        <w:rPr>
          <w:rFonts w:hint="eastAsia" w:ascii="仿宋_GB2312" w:hAnsi="仿宋" w:eastAsia="仿宋_GB2312" w:cs="仿宋"/>
          <w:color w:val="auto"/>
          <w:sz w:val="32"/>
          <w:szCs w:val="32"/>
          <w:lang w:eastAsia="zh-CN"/>
        </w:rPr>
        <w:t>近两年</w:t>
      </w:r>
      <w:r>
        <w:rPr>
          <w:rFonts w:hint="eastAsia" w:ascii="仿宋_GB2312" w:hAnsi="仿宋" w:eastAsia="仿宋_GB2312" w:cs="仿宋"/>
          <w:color w:val="auto"/>
          <w:sz w:val="32"/>
          <w:szCs w:val="32"/>
        </w:rPr>
        <w:t>广东省内</w:t>
      </w:r>
      <w:r>
        <w:rPr>
          <w:rFonts w:hint="eastAsia" w:ascii="仿宋_GB2312" w:hAnsi="仿宋" w:eastAsia="仿宋_GB2312" w:cs="仿宋"/>
          <w:color w:val="auto"/>
          <w:sz w:val="32"/>
          <w:szCs w:val="32"/>
          <w:u w:val="single"/>
        </w:rPr>
        <w:t>至少</w:t>
      </w:r>
      <w:r>
        <w:rPr>
          <w:rFonts w:hint="eastAsia" w:ascii="仿宋_GB2312" w:hAnsi="仿宋" w:eastAsia="仿宋_GB2312" w:cs="仿宋"/>
          <w:color w:val="auto"/>
          <w:sz w:val="32"/>
          <w:szCs w:val="32"/>
          <w:u w:val="single"/>
          <w:lang w:eastAsia="zh-CN"/>
        </w:rPr>
        <w:t>三</w:t>
      </w:r>
      <w:r>
        <w:rPr>
          <w:rFonts w:hint="eastAsia" w:ascii="仿宋_GB2312" w:hAnsi="仿宋" w:eastAsia="仿宋_GB2312" w:cs="仿宋"/>
          <w:color w:val="auto"/>
          <w:sz w:val="32"/>
          <w:szCs w:val="32"/>
          <w:u w:val="single"/>
        </w:rPr>
        <w:t>家</w:t>
      </w:r>
      <w:r>
        <w:rPr>
          <w:rFonts w:hint="eastAsia" w:ascii="仿宋_GB2312" w:hAnsi="仿宋" w:eastAsia="仿宋_GB2312" w:cs="仿宋"/>
          <w:color w:val="auto"/>
          <w:sz w:val="32"/>
          <w:szCs w:val="32"/>
          <w:u w:val="single"/>
          <w:lang w:eastAsia="zh-CN"/>
        </w:rPr>
        <w:t>二</w:t>
      </w:r>
      <w:r>
        <w:rPr>
          <w:rFonts w:hint="eastAsia" w:ascii="仿宋_GB2312" w:hAnsi="仿宋" w:eastAsia="仿宋_GB2312" w:cs="仿宋"/>
          <w:color w:val="auto"/>
          <w:sz w:val="32"/>
          <w:szCs w:val="32"/>
          <w:u w:val="single"/>
        </w:rPr>
        <w:t>级</w:t>
      </w:r>
      <w:r>
        <w:rPr>
          <w:rFonts w:hint="eastAsia" w:ascii="仿宋_GB2312" w:hAnsi="仿宋" w:eastAsia="仿宋_GB2312" w:cs="仿宋"/>
          <w:color w:val="auto"/>
          <w:sz w:val="32"/>
          <w:szCs w:val="32"/>
          <w:u w:val="single"/>
          <w:lang w:eastAsia="zh-CN"/>
        </w:rPr>
        <w:t>或以上</w:t>
      </w:r>
      <w:r>
        <w:rPr>
          <w:rFonts w:hint="eastAsia" w:ascii="仿宋_GB2312" w:hAnsi="仿宋" w:eastAsia="仿宋_GB2312" w:cs="仿宋"/>
          <w:color w:val="auto"/>
          <w:sz w:val="32"/>
          <w:szCs w:val="32"/>
        </w:rPr>
        <w:t>医疗机构医疗责任保险相关服务经验（提供20</w:t>
      </w:r>
      <w:r>
        <w:rPr>
          <w:rFonts w:hint="eastAsia" w:ascii="仿宋_GB2312" w:hAnsi="仿宋" w:eastAsia="仿宋_GB2312" w:cs="仿宋"/>
          <w:color w:val="auto"/>
          <w:sz w:val="32"/>
          <w:szCs w:val="32"/>
          <w:lang w:val="en-US" w:eastAsia="zh-CN"/>
        </w:rPr>
        <w:t>22</w:t>
      </w:r>
      <w:r>
        <w:rPr>
          <w:rFonts w:hint="eastAsia" w:ascii="华文仿宋" w:hAnsi="华文仿宋" w:eastAsia="华文仿宋" w:cs="仿宋"/>
          <w:color w:val="auto"/>
          <w:sz w:val="32"/>
          <w:szCs w:val="32"/>
          <w:lang w:eastAsia="zh-CN"/>
        </w:rPr>
        <w:t>－</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期间的二级或三级医疗机构保单复印件或成交采购合同复印件并加盖公章，同一医疗机构不同保险期限的只按一项承保经验计算；承保主体必须与服务供应商为同一人，承保主体与服务供应商非同一人的不予计算）；</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.参考数据</w:t>
      </w:r>
    </w:p>
    <w:p>
      <w:pPr>
        <w:pStyle w:val="4"/>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投保人数: </w:t>
      </w:r>
      <w:r>
        <w:rPr>
          <w:rFonts w:hint="eastAsia" w:ascii="仿宋_GB2312" w:hAnsi="仿宋" w:eastAsia="仿宋_GB2312" w:cs="仿宋"/>
          <w:color w:val="auto"/>
          <w:sz w:val="32"/>
          <w:szCs w:val="32"/>
          <w:u w:val="single"/>
          <w:lang w:val="en-US" w:eastAsia="zh-CN"/>
        </w:rPr>
        <w:t>3</w:t>
      </w:r>
      <w:r>
        <w:rPr>
          <w:rFonts w:hint="eastAsia" w:ascii="仿宋_GB2312" w:hAnsi="仿宋" w:eastAsia="仿宋_GB2312" w:cs="仿宋"/>
          <w:color w:val="auto"/>
          <w:sz w:val="32"/>
          <w:szCs w:val="32"/>
          <w:u w:val="single"/>
        </w:rPr>
        <w:t>00</w:t>
      </w:r>
      <w:r>
        <w:rPr>
          <w:rFonts w:hint="eastAsia" w:ascii="仿宋_GB2312" w:hAnsi="仿宋" w:eastAsia="仿宋_GB2312" w:cs="仿宋"/>
          <w:color w:val="auto"/>
          <w:sz w:val="32"/>
          <w:szCs w:val="32"/>
        </w:rPr>
        <w:t>人</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投保床位数:</w:t>
      </w:r>
      <w:r>
        <w:rPr>
          <w:rFonts w:hint="eastAsia" w:ascii="仿宋_GB2312" w:hAnsi="仿宋" w:eastAsia="仿宋_GB2312" w:cs="仿宋"/>
          <w:color w:val="auto"/>
          <w:sz w:val="32"/>
          <w:szCs w:val="32"/>
          <w:u w:val="single"/>
          <w:lang w:val="en-US" w:eastAsia="zh-CN"/>
        </w:rPr>
        <w:t>299</w:t>
      </w:r>
      <w:r>
        <w:rPr>
          <w:rFonts w:hint="eastAsia" w:ascii="仿宋_GB2312" w:hAnsi="仿宋" w:eastAsia="仿宋_GB2312" w:cs="仿宋"/>
          <w:color w:val="auto"/>
          <w:sz w:val="32"/>
          <w:szCs w:val="32"/>
        </w:rPr>
        <w:t>床</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w:t>
      </w:r>
      <w:r>
        <w:rPr>
          <w:rFonts w:ascii="仿宋_GB2312" w:hAnsi="仿宋" w:eastAsia="仿宋_GB2312" w:cs="仿宋"/>
          <w:color w:val="auto"/>
          <w:sz w:val="32"/>
          <w:szCs w:val="32"/>
        </w:rPr>
        <w:t>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年门诊量:</w:t>
      </w:r>
      <w:r>
        <w:rPr>
          <w:rFonts w:hint="eastAsia" w:ascii="仿宋_GB2312" w:hAnsi="仿宋" w:eastAsia="仿宋_GB2312" w:cs="仿宋"/>
          <w:color w:val="auto"/>
          <w:sz w:val="32"/>
          <w:szCs w:val="32"/>
          <w:u w:val="single"/>
          <w:lang w:val="en-US" w:eastAsia="zh-CN"/>
        </w:rPr>
        <w:t>41万</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w:t>
      </w:r>
      <w:r>
        <w:rPr>
          <w:rFonts w:ascii="仿宋_GB2312" w:hAnsi="仿宋" w:eastAsia="仿宋_GB2312" w:cs="仿宋"/>
          <w:color w:val="auto"/>
          <w:sz w:val="32"/>
          <w:szCs w:val="32"/>
        </w:rPr>
        <w:t>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年出院人数:</w:t>
      </w:r>
      <w:r>
        <w:rPr>
          <w:rFonts w:hint="eastAsia" w:ascii="仿宋_GB2312" w:hAnsi="仿宋" w:eastAsia="仿宋_GB2312" w:cs="仿宋"/>
          <w:color w:val="auto"/>
          <w:sz w:val="32"/>
          <w:szCs w:val="32"/>
          <w:u w:val="single"/>
          <w:lang w:val="en-US" w:eastAsia="zh-CN"/>
        </w:rPr>
        <w:t>9876</w:t>
      </w:r>
      <w:r>
        <w:rPr>
          <w:rFonts w:hint="eastAsia" w:ascii="仿宋_GB2312" w:hAnsi="仿宋" w:eastAsia="仿宋_GB2312" w:cs="仿宋"/>
          <w:color w:val="auto"/>
          <w:sz w:val="32"/>
          <w:szCs w:val="32"/>
        </w:rPr>
        <w:t>人次</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.本次采购的服务供应报价应为人民币含税全包价。</w:t>
      </w:r>
    </w:p>
    <w:p>
      <w:pPr>
        <w:pStyle w:val="4"/>
        <w:rPr>
          <w:rFonts w:ascii="仿宋_GB2312" w:hAnsi="仿宋" w:eastAsia="仿宋_GB2312" w:cs="仿宋"/>
          <w:b/>
          <w:color w:val="auto"/>
          <w:sz w:val="32"/>
          <w:szCs w:val="32"/>
        </w:rPr>
      </w:pPr>
    </w:p>
    <w:p>
      <w:pPr>
        <w:pStyle w:val="4"/>
        <w:rPr>
          <w:rFonts w:ascii="仿宋_GB2312" w:hAnsi="仿宋" w:eastAsia="仿宋_GB2312" w:cs="仿宋"/>
          <w:b/>
          <w:color w:val="auto"/>
          <w:sz w:val="32"/>
          <w:szCs w:val="32"/>
        </w:rPr>
      </w:pPr>
      <w:r>
        <w:rPr>
          <w:rFonts w:hint="eastAsia" w:ascii="仿宋_GB2312" w:hAnsi="仿宋" w:eastAsia="仿宋_GB2312" w:cs="仿宋"/>
          <w:b/>
          <w:color w:val="auto"/>
          <w:sz w:val="32"/>
          <w:szCs w:val="32"/>
        </w:rPr>
        <w:t>八、其他要求</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本次采购采用综合评比方法,以采购要求文件规定的条件为原则，对各服务供应商所报的保险费率、承保及偿付方案、服务计划、同类项目承保经验以及参与项目人员情况等方面内容进行综合比较。最低报价不作为采购的唯一依据。</w:t>
      </w:r>
    </w:p>
    <w:p>
      <w:pPr>
        <w:pStyle w:val="4"/>
        <w:ind w:firstLine="640" w:firstLineChars="200"/>
        <w:rPr>
          <w:rFonts w:ascii="仿宋_GB2312" w:hAnsi="仿宋" w:eastAsia="仿宋_GB2312" w:cs="仿宋"/>
          <w:color w:val="auto"/>
          <w:sz w:val="32"/>
          <w:szCs w:val="32"/>
        </w:rPr>
      </w:pPr>
    </w:p>
    <w:p>
      <w:pPr>
        <w:rPr>
          <w:rFonts w:ascii="仿宋_GB2312" w:hAnsi="仿宋" w:eastAsia="仿宋_GB2312" w:cs="仿宋"/>
          <w:b/>
          <w:bCs/>
          <w:color w:val="auto"/>
          <w:sz w:val="32"/>
          <w:szCs w:val="32"/>
        </w:rPr>
      </w:pPr>
      <w:r>
        <w:rPr>
          <w:rFonts w:hint="eastAsia" w:ascii="仿宋_GB2312" w:hAnsi="仿宋" w:eastAsia="仿宋_GB2312" w:cs="仿宋"/>
          <w:b/>
          <w:bCs/>
          <w:color w:val="auto"/>
          <w:sz w:val="32"/>
          <w:szCs w:val="32"/>
        </w:rPr>
        <w:t>九、结算方式</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一次性付款。</w:t>
      </w:r>
    </w:p>
    <w:p>
      <w:pPr>
        <w:rPr>
          <w:color w:val="auto"/>
        </w:rPr>
      </w:pPr>
    </w:p>
    <w:p>
      <w:pPr>
        <w:rPr>
          <w:rFonts w:hint="eastAsia" w:ascii="仿宋_GB2312" w:hAnsi="仿宋" w:eastAsia="仿宋_GB2312" w:cs="仿宋"/>
          <w:b/>
          <w:bCs/>
          <w:color w:val="auto"/>
          <w:sz w:val="32"/>
          <w:szCs w:val="32"/>
          <w:lang w:eastAsia="zh-CN"/>
        </w:rPr>
      </w:pPr>
      <w:r>
        <w:rPr>
          <w:rFonts w:hint="eastAsia" w:ascii="仿宋_GB2312" w:hAnsi="仿宋" w:eastAsia="仿宋_GB2312" w:cs="仿宋"/>
          <w:b/>
          <w:bCs/>
          <w:color w:val="auto"/>
          <w:sz w:val="32"/>
          <w:szCs w:val="32"/>
          <w:lang w:eastAsia="zh-CN"/>
        </w:rPr>
        <w:t>十、案件理赔偿付</w:t>
      </w:r>
    </w:p>
    <w:p>
      <w:pPr>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保险人收到被保险人的赔偿保险金的请求后，应当及时作出是否属于保险责任的核定，情形复杂的，应当在三十日内作出核定。保险人应当将核定结果通知被保险人，对属于保险责任的，在被保险人提交索赔申请、证明和相关材料后三十个工作日内履行赔偿保险金义务；对不属于保险责任的，应当自作出核定之日起三日内向被保险人发出拒绝赔偿保险金通知书，并说明理由。</w:t>
      </w:r>
    </w:p>
    <w:p>
      <w:pPr>
        <w:ind w:firstLine="640" w:firstLineChars="200"/>
        <w:rPr>
          <w:rFonts w:hint="default"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对属于保险责任而逾期未履行赔偿保险金义务的，被保险人将采取一切必要的法律手段保障合法权益，由此产生的诉讼费、律师费等将由保险人承担。</w:t>
      </w:r>
      <w:bookmarkStart w:id="0" w:name="_GoBack"/>
      <w:bookmarkEnd w:id="0"/>
    </w:p>
    <w:p>
      <w:pPr>
        <w:rPr>
          <w:color w:val="auto"/>
        </w:rPr>
      </w:pPr>
    </w:p>
    <w:sectPr>
      <w:headerReference r:id="rId3" w:type="default"/>
      <w:footerReference r:id="rId4"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1236ACD-87A5-4C67-B016-F449D40212F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318495B-89F2-4C6B-B7E1-D38AA6DAD43E}"/>
  </w:font>
  <w:font w:name="仿宋_GB2312">
    <w:altName w:val="仿宋"/>
    <w:panose1 w:val="02010609030101010101"/>
    <w:charset w:val="86"/>
    <w:family w:val="modern"/>
    <w:pitch w:val="default"/>
    <w:sig w:usb0="00000000" w:usb1="00000000" w:usb2="00000000" w:usb3="00000000" w:csb0="00040000" w:csb1="00000000"/>
    <w:embedRegular r:id="rId3" w:fontKey="{D98B8909-B08A-4A85-8192-F01B5F7FA346}"/>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6BB99CAC-BDB9-4386-8FE0-EA45D344CBD3}"/>
  </w:font>
  <w:font w:name="仿宋">
    <w:panose1 w:val="02010609060101010101"/>
    <w:charset w:val="86"/>
    <w:family w:val="auto"/>
    <w:pitch w:val="default"/>
    <w:sig w:usb0="800002BF" w:usb1="38CF7CFA" w:usb2="00000016" w:usb3="00000000" w:csb0="00040001" w:csb1="00000000"/>
    <w:embedRegular r:id="rId5" w:fontKey="{C60784E3-A328-4E21-A8BF-C7BDFAFE92E5}"/>
  </w:font>
  <w:font w:name="微软雅黑">
    <w:panose1 w:val="020B0503020204020204"/>
    <w:charset w:val="86"/>
    <w:family w:val="auto"/>
    <w:pitch w:val="default"/>
    <w:sig w:usb0="80000287" w:usb1="280F3C52" w:usb2="00000016" w:usb3="00000000" w:csb0="0004001F" w:csb1="00000000"/>
    <w:embedRegular r:id="rId6" w:fontKey="{8ADAAF1B-8990-4B0B-B8FC-F51C5C1A0806}"/>
  </w:font>
  <w:font w:name="华文仿宋">
    <w:altName w:val="仿宋"/>
    <w:panose1 w:val="02010600040101010101"/>
    <w:charset w:val="86"/>
    <w:family w:val="auto"/>
    <w:pitch w:val="default"/>
    <w:sig w:usb0="00000000" w:usb1="00000000" w:usb2="00000000" w:usb3="00000000" w:csb0="0004009F" w:csb1="DFD70000"/>
    <w:embedRegular r:id="rId7" w:fontKey="{31A1015E-856E-4174-8902-820BF04B2563}"/>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zYTU4MzMxNDIzM2U4MjliY2I4ZTg5MTg2MjhjZmYifQ=="/>
  </w:docVars>
  <w:rsids>
    <w:rsidRoot w:val="00A718FF"/>
    <w:rsid w:val="000110DF"/>
    <w:rsid w:val="00034B0E"/>
    <w:rsid w:val="00061411"/>
    <w:rsid w:val="00070C88"/>
    <w:rsid w:val="000F458E"/>
    <w:rsid w:val="00115744"/>
    <w:rsid w:val="00292BAB"/>
    <w:rsid w:val="002B565D"/>
    <w:rsid w:val="002F4706"/>
    <w:rsid w:val="003137BA"/>
    <w:rsid w:val="00404777"/>
    <w:rsid w:val="004A2736"/>
    <w:rsid w:val="004E1592"/>
    <w:rsid w:val="00531D91"/>
    <w:rsid w:val="00543327"/>
    <w:rsid w:val="00623A5E"/>
    <w:rsid w:val="0065032F"/>
    <w:rsid w:val="006756A7"/>
    <w:rsid w:val="00691BCA"/>
    <w:rsid w:val="00890F53"/>
    <w:rsid w:val="0092616A"/>
    <w:rsid w:val="00A718FF"/>
    <w:rsid w:val="00B5313D"/>
    <w:rsid w:val="00BB3B8D"/>
    <w:rsid w:val="00BC7CCD"/>
    <w:rsid w:val="00CD72E5"/>
    <w:rsid w:val="00CD7746"/>
    <w:rsid w:val="00D67EFE"/>
    <w:rsid w:val="00DD2379"/>
    <w:rsid w:val="00E26A00"/>
    <w:rsid w:val="00E51C56"/>
    <w:rsid w:val="00F13AC9"/>
    <w:rsid w:val="00FB4DC1"/>
    <w:rsid w:val="01176EA7"/>
    <w:rsid w:val="0160084E"/>
    <w:rsid w:val="0273010D"/>
    <w:rsid w:val="02F254D6"/>
    <w:rsid w:val="03633C7E"/>
    <w:rsid w:val="038A1BB2"/>
    <w:rsid w:val="03977E2B"/>
    <w:rsid w:val="03E33071"/>
    <w:rsid w:val="04F76DD4"/>
    <w:rsid w:val="053A3164"/>
    <w:rsid w:val="0739034C"/>
    <w:rsid w:val="07B45450"/>
    <w:rsid w:val="089D7C92"/>
    <w:rsid w:val="090B72F2"/>
    <w:rsid w:val="0A375EC4"/>
    <w:rsid w:val="0A4D56E8"/>
    <w:rsid w:val="0BD55995"/>
    <w:rsid w:val="0CF602B9"/>
    <w:rsid w:val="0D9378B6"/>
    <w:rsid w:val="0DBC505E"/>
    <w:rsid w:val="0E625C06"/>
    <w:rsid w:val="0EE505E5"/>
    <w:rsid w:val="0F7C2CF7"/>
    <w:rsid w:val="0FC85F3C"/>
    <w:rsid w:val="0FF07241"/>
    <w:rsid w:val="1054031E"/>
    <w:rsid w:val="105570A4"/>
    <w:rsid w:val="106A0DA2"/>
    <w:rsid w:val="10A342B4"/>
    <w:rsid w:val="12411FD6"/>
    <w:rsid w:val="127F6108"/>
    <w:rsid w:val="14254722"/>
    <w:rsid w:val="158F4E06"/>
    <w:rsid w:val="162D4D4B"/>
    <w:rsid w:val="174C7453"/>
    <w:rsid w:val="18A86B4D"/>
    <w:rsid w:val="195E346D"/>
    <w:rsid w:val="1AAB4490"/>
    <w:rsid w:val="1AED2CFB"/>
    <w:rsid w:val="1B18764C"/>
    <w:rsid w:val="1C623275"/>
    <w:rsid w:val="1C6C7C4F"/>
    <w:rsid w:val="1DBF50D4"/>
    <w:rsid w:val="1E903E78"/>
    <w:rsid w:val="1FF95C9E"/>
    <w:rsid w:val="200563F1"/>
    <w:rsid w:val="21AA36F4"/>
    <w:rsid w:val="21B24356"/>
    <w:rsid w:val="22364F87"/>
    <w:rsid w:val="22C17101"/>
    <w:rsid w:val="23D42CAA"/>
    <w:rsid w:val="269C55D5"/>
    <w:rsid w:val="27003DB6"/>
    <w:rsid w:val="27DC037F"/>
    <w:rsid w:val="280478D6"/>
    <w:rsid w:val="28972EAE"/>
    <w:rsid w:val="2931638B"/>
    <w:rsid w:val="299D7ED2"/>
    <w:rsid w:val="29FD45DD"/>
    <w:rsid w:val="2A866380"/>
    <w:rsid w:val="2A88659C"/>
    <w:rsid w:val="2B0F281A"/>
    <w:rsid w:val="2B5D3F7C"/>
    <w:rsid w:val="2C35180C"/>
    <w:rsid w:val="2C6E17C2"/>
    <w:rsid w:val="2D0636EB"/>
    <w:rsid w:val="2F6173BC"/>
    <w:rsid w:val="2F754C15"/>
    <w:rsid w:val="2F971705"/>
    <w:rsid w:val="317C672F"/>
    <w:rsid w:val="318F2D1D"/>
    <w:rsid w:val="32F50547"/>
    <w:rsid w:val="33784CD4"/>
    <w:rsid w:val="35011425"/>
    <w:rsid w:val="354632DC"/>
    <w:rsid w:val="35D54660"/>
    <w:rsid w:val="362C28E5"/>
    <w:rsid w:val="368340BC"/>
    <w:rsid w:val="36AA789A"/>
    <w:rsid w:val="36CF25AE"/>
    <w:rsid w:val="36DA1F2E"/>
    <w:rsid w:val="37186D3E"/>
    <w:rsid w:val="37A95DA4"/>
    <w:rsid w:val="387E0FDF"/>
    <w:rsid w:val="38E86458"/>
    <w:rsid w:val="39161217"/>
    <w:rsid w:val="39186D3D"/>
    <w:rsid w:val="39FA28E7"/>
    <w:rsid w:val="3A5E022F"/>
    <w:rsid w:val="3ABD63E8"/>
    <w:rsid w:val="3E4915E0"/>
    <w:rsid w:val="3EA177D5"/>
    <w:rsid w:val="3FA532F5"/>
    <w:rsid w:val="416C7430"/>
    <w:rsid w:val="41FA1C8B"/>
    <w:rsid w:val="425D7EB7"/>
    <w:rsid w:val="42965BA3"/>
    <w:rsid w:val="429A07C3"/>
    <w:rsid w:val="42F500EF"/>
    <w:rsid w:val="43104F29"/>
    <w:rsid w:val="43291B47"/>
    <w:rsid w:val="442E38B9"/>
    <w:rsid w:val="44E126D9"/>
    <w:rsid w:val="4529478C"/>
    <w:rsid w:val="4530540F"/>
    <w:rsid w:val="47486A40"/>
    <w:rsid w:val="47863A0C"/>
    <w:rsid w:val="49817F72"/>
    <w:rsid w:val="49E07403"/>
    <w:rsid w:val="4A0550BC"/>
    <w:rsid w:val="4A0C644A"/>
    <w:rsid w:val="4A123335"/>
    <w:rsid w:val="4A565917"/>
    <w:rsid w:val="4C204340"/>
    <w:rsid w:val="4C3752D5"/>
    <w:rsid w:val="4C6D21BF"/>
    <w:rsid w:val="4C982217"/>
    <w:rsid w:val="4CCA439B"/>
    <w:rsid w:val="4FE17A31"/>
    <w:rsid w:val="502B33A2"/>
    <w:rsid w:val="51D66DF2"/>
    <w:rsid w:val="520D3CAC"/>
    <w:rsid w:val="528079D5"/>
    <w:rsid w:val="52927709"/>
    <w:rsid w:val="53220A8C"/>
    <w:rsid w:val="533E53A8"/>
    <w:rsid w:val="53E329CC"/>
    <w:rsid w:val="53FB308C"/>
    <w:rsid w:val="54DF6509"/>
    <w:rsid w:val="556A2277"/>
    <w:rsid w:val="559935C9"/>
    <w:rsid w:val="55E77D6B"/>
    <w:rsid w:val="562C1C22"/>
    <w:rsid w:val="577B69BD"/>
    <w:rsid w:val="58382B00"/>
    <w:rsid w:val="58F05189"/>
    <w:rsid w:val="59044790"/>
    <w:rsid w:val="590F19E8"/>
    <w:rsid w:val="598A2EE8"/>
    <w:rsid w:val="5A252C10"/>
    <w:rsid w:val="5A932270"/>
    <w:rsid w:val="5AAB1367"/>
    <w:rsid w:val="5ADA7E9F"/>
    <w:rsid w:val="5BEC7BF5"/>
    <w:rsid w:val="5CD5079F"/>
    <w:rsid w:val="5D69550A"/>
    <w:rsid w:val="5E3A023C"/>
    <w:rsid w:val="5ECB022A"/>
    <w:rsid w:val="5ED30E8D"/>
    <w:rsid w:val="5F217E4A"/>
    <w:rsid w:val="5F7A1C50"/>
    <w:rsid w:val="5F9E149B"/>
    <w:rsid w:val="5FE5531C"/>
    <w:rsid w:val="5FEF619A"/>
    <w:rsid w:val="60673F83"/>
    <w:rsid w:val="606A75CF"/>
    <w:rsid w:val="613C540F"/>
    <w:rsid w:val="61A92379"/>
    <w:rsid w:val="61B956A8"/>
    <w:rsid w:val="62A9482D"/>
    <w:rsid w:val="64835103"/>
    <w:rsid w:val="64A0163A"/>
    <w:rsid w:val="6509712B"/>
    <w:rsid w:val="66091638"/>
    <w:rsid w:val="676236F6"/>
    <w:rsid w:val="69140E8F"/>
    <w:rsid w:val="698060B5"/>
    <w:rsid w:val="6A5C267E"/>
    <w:rsid w:val="6A6E5F0E"/>
    <w:rsid w:val="6B9C2C1E"/>
    <w:rsid w:val="6BA76FDD"/>
    <w:rsid w:val="6CDA5ADC"/>
    <w:rsid w:val="6D205BE5"/>
    <w:rsid w:val="6D6830E8"/>
    <w:rsid w:val="6D6C0E2A"/>
    <w:rsid w:val="6D7970A3"/>
    <w:rsid w:val="6D7E0B5E"/>
    <w:rsid w:val="6D8C00B5"/>
    <w:rsid w:val="6DCF13B9"/>
    <w:rsid w:val="6E602011"/>
    <w:rsid w:val="6F10285F"/>
    <w:rsid w:val="703A5210"/>
    <w:rsid w:val="703B4AE4"/>
    <w:rsid w:val="70495453"/>
    <w:rsid w:val="708244C1"/>
    <w:rsid w:val="71542301"/>
    <w:rsid w:val="71C56D5B"/>
    <w:rsid w:val="72275320"/>
    <w:rsid w:val="72B312A9"/>
    <w:rsid w:val="73813156"/>
    <w:rsid w:val="74DF1EE2"/>
    <w:rsid w:val="759E7FEF"/>
    <w:rsid w:val="7682346D"/>
    <w:rsid w:val="78EF0B61"/>
    <w:rsid w:val="79865022"/>
    <w:rsid w:val="7A454EDD"/>
    <w:rsid w:val="7AA716F4"/>
    <w:rsid w:val="7B42141C"/>
    <w:rsid w:val="7BAA3368"/>
    <w:rsid w:val="7BBD4F47"/>
    <w:rsid w:val="7CAC1243"/>
    <w:rsid w:val="7CBE290C"/>
    <w:rsid w:val="7D7D2BE0"/>
    <w:rsid w:val="7DEB7B49"/>
    <w:rsid w:val="7EA47CF8"/>
    <w:rsid w:val="7FB36445"/>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spacing w:line="360" w:lineRule="auto"/>
    </w:pPr>
    <w:rPr>
      <w:rFonts w:ascii="仿宋_GB2312"/>
      <w:sz w:val="28"/>
    </w:rPr>
  </w:style>
  <w:style w:type="paragraph" w:styleId="4">
    <w:name w:val="Plain Text"/>
    <w:basedOn w:val="1"/>
    <w:link w:val="10"/>
    <w:autoRedefine/>
    <w:qFormat/>
    <w:uiPriority w:val="0"/>
    <w:rPr>
      <w:rFonts w:ascii="宋体" w:hAnsi="Courier New"/>
    </w:r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纯文本 字符"/>
    <w:basedOn w:val="8"/>
    <w:autoRedefine/>
    <w:semiHidden/>
    <w:qFormat/>
    <w:uiPriority w:val="99"/>
    <w:rPr>
      <w:rFonts w:hAnsi="Courier New" w:cs="Courier New" w:asciiTheme="minorEastAsia"/>
    </w:rPr>
  </w:style>
  <w:style w:type="character" w:customStyle="1" w:styleId="10">
    <w:name w:val="纯文本 字符1"/>
    <w:link w:val="4"/>
    <w:autoRedefine/>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2796</Words>
  <Characters>2936</Characters>
  <Lines>13</Lines>
  <Paragraphs>3</Paragraphs>
  <TotalTime>6</TotalTime>
  <ScaleCrop>false</ScaleCrop>
  <LinksUpToDate>false</LinksUpToDate>
  <CharactersWithSpaces>2945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2021-03-15T07:19:00Z</dcterms:created>
  <dc:creator>Microsoft Office User</dc:creator>
  <cp:lastModifiedBy>陳生壕</cp:lastModifiedBy>
  <cp:lastPrinted>2023-06-14T19:00:00Z</cp:lastPrinted>
  <dcterms:modified xsi:type="dcterms:W3CDTF">2024-05-08T08:35:52Z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265160239_btnclosed</vt:lpwstr>
  </property>
  <property fmtid="{D5CDD505-2E9C-101B-9397-08002B2CF9AE}" pid="3" name="KSOProductBuildVer">
    <vt:lpwstr>2052-12.1.0.16729</vt:lpwstr>
  </property>
  <property fmtid="{D5CDD505-2E9C-101B-9397-08002B2CF9AE}" pid="4" name="ICV">
    <vt:lpwstr>5E31FFBEED964D54A56F3DAFB9D669E0_13</vt:lpwstr>
  </property>
</Properties>
</file>