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DC" w:rsidRDefault="00D714DC" w:rsidP="00D714DC">
      <w:pPr>
        <w:pStyle w:val="a4"/>
        <w:numPr>
          <w:ilvl w:val="0"/>
          <w:numId w:val="0"/>
        </w:numPr>
        <w:rPr>
          <w:rFonts w:ascii="仿宋" w:eastAsia="仿宋" w:hAnsi="仿宋" w:cs="仿宋" w:hint="eastAsia"/>
          <w:b/>
          <w:bCs/>
          <w:sz w:val="32"/>
          <w:szCs w:val="40"/>
        </w:rPr>
      </w:pPr>
      <w:r>
        <w:rPr>
          <w:rFonts w:ascii="仿宋" w:eastAsia="仿宋" w:hAnsi="仿宋" w:cs="仿宋" w:hint="eastAsia"/>
          <w:b/>
          <w:bCs/>
          <w:sz w:val="32"/>
          <w:szCs w:val="40"/>
        </w:rPr>
        <w:t>项目评审标准</w:t>
      </w:r>
    </w:p>
    <w:tbl>
      <w:tblPr>
        <w:tblW w:w="9357" w:type="dxa"/>
        <w:jc w:val="center"/>
        <w:tblLayout w:type="fixed"/>
        <w:tblLook w:val="0000"/>
      </w:tblPr>
      <w:tblGrid>
        <w:gridCol w:w="725"/>
        <w:gridCol w:w="1586"/>
        <w:gridCol w:w="767"/>
        <w:gridCol w:w="6279"/>
      </w:tblGrid>
      <w:tr w:rsidR="00D714DC" w:rsidTr="00181860">
        <w:trPr>
          <w:trHeight w:val="450"/>
          <w:jc w:val="center"/>
        </w:trPr>
        <w:tc>
          <w:tcPr>
            <w:tcW w:w="9357" w:type="dxa"/>
            <w:gridSpan w:val="4"/>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r>
              <w:rPr>
                <w:rFonts w:ascii="仿宋" w:eastAsia="仿宋" w:hAnsi="仿宋" w:cs="仿宋" w:hint="eastAsia"/>
                <w:b/>
                <w:color w:val="000000"/>
                <w:kern w:val="0"/>
                <w:sz w:val="28"/>
                <w:szCs w:val="28"/>
              </w:rPr>
              <w:t>评审标准</w:t>
            </w:r>
          </w:p>
        </w:tc>
      </w:tr>
      <w:tr w:rsidR="00D714DC" w:rsidTr="00181860">
        <w:trPr>
          <w:trHeight w:val="480"/>
          <w:jc w:val="center"/>
        </w:trPr>
        <w:tc>
          <w:tcPr>
            <w:tcW w:w="725"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bookmarkStart w:id="0" w:name="OLE_LINK1" w:colFirst="0" w:colLast="3"/>
            <w:r>
              <w:rPr>
                <w:rFonts w:ascii="仿宋" w:eastAsia="仿宋" w:hAnsi="仿宋" w:cs="仿宋" w:hint="eastAsia"/>
                <w:color w:val="000000"/>
                <w:kern w:val="0"/>
                <w:sz w:val="28"/>
                <w:szCs w:val="28"/>
              </w:rPr>
              <w:t>评审项目</w:t>
            </w:r>
          </w:p>
        </w:tc>
        <w:tc>
          <w:tcPr>
            <w:tcW w:w="1586" w:type="dxa"/>
            <w:tcBorders>
              <w:top w:val="single" w:sz="4" w:space="0" w:color="auto"/>
              <w:left w:val="nil"/>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评议内容</w:t>
            </w:r>
          </w:p>
        </w:tc>
        <w:tc>
          <w:tcPr>
            <w:tcW w:w="767" w:type="dxa"/>
            <w:tcBorders>
              <w:top w:val="single" w:sz="4" w:space="0" w:color="auto"/>
              <w:left w:val="nil"/>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分值100</w:t>
            </w:r>
          </w:p>
        </w:tc>
        <w:tc>
          <w:tcPr>
            <w:tcW w:w="6279" w:type="dxa"/>
            <w:tcBorders>
              <w:top w:val="single" w:sz="4" w:space="0" w:color="auto"/>
              <w:left w:val="nil"/>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评分细则</w:t>
            </w:r>
          </w:p>
        </w:tc>
      </w:tr>
      <w:tr w:rsidR="00D714DC" w:rsidTr="00181860">
        <w:trPr>
          <w:trHeight w:val="90"/>
          <w:jc w:val="center"/>
        </w:trPr>
        <w:tc>
          <w:tcPr>
            <w:tcW w:w="725"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kern w:val="0"/>
                <w:sz w:val="28"/>
                <w:szCs w:val="28"/>
              </w:rPr>
            </w:pPr>
            <w:r>
              <w:rPr>
                <w:rFonts w:ascii="仿宋" w:eastAsia="仿宋" w:hAnsi="仿宋" w:hint="eastAsia"/>
                <w:kern w:val="0"/>
                <w:sz w:val="28"/>
                <w:szCs w:val="28"/>
              </w:rPr>
              <w:t>信誉</w:t>
            </w:r>
          </w:p>
        </w:tc>
        <w:tc>
          <w:tcPr>
            <w:tcW w:w="1586"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rPr>
                <w:rFonts w:ascii="仿宋" w:eastAsia="仿宋" w:hAnsi="仿宋"/>
                <w:sz w:val="28"/>
                <w:szCs w:val="28"/>
              </w:rPr>
            </w:pPr>
            <w:r>
              <w:rPr>
                <w:rFonts w:ascii="仿宋" w:eastAsia="仿宋" w:hAnsi="仿宋" w:hint="eastAsia"/>
                <w:sz w:val="28"/>
                <w:szCs w:val="28"/>
              </w:rPr>
              <w:t>诚信响应</w:t>
            </w:r>
          </w:p>
          <w:p w:rsidR="00D714DC" w:rsidRDefault="00D714DC" w:rsidP="00181860">
            <w:pPr>
              <w:widowControl/>
              <w:rPr>
                <w:rFonts w:ascii="仿宋" w:eastAsia="仿宋" w:hAnsi="仿宋"/>
                <w:kern w:val="0"/>
                <w:sz w:val="28"/>
                <w:szCs w:val="28"/>
              </w:rPr>
            </w:pPr>
            <w:r>
              <w:rPr>
                <w:rFonts w:ascii="仿宋" w:eastAsia="仿宋" w:hAnsi="仿宋" w:hint="eastAsia"/>
                <w:sz w:val="28"/>
                <w:szCs w:val="28"/>
              </w:rPr>
              <w:t>承诺</w:t>
            </w:r>
          </w:p>
        </w:tc>
        <w:tc>
          <w:tcPr>
            <w:tcW w:w="767"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hint="eastAsia"/>
                <w:kern w:val="0"/>
                <w:sz w:val="28"/>
                <w:szCs w:val="28"/>
              </w:rPr>
            </w:pPr>
            <w:r>
              <w:rPr>
                <w:rFonts w:ascii="仿宋" w:eastAsia="仿宋" w:hAnsi="仿宋" w:hint="eastAsia"/>
                <w:kern w:val="0"/>
                <w:sz w:val="28"/>
                <w:szCs w:val="28"/>
              </w:rPr>
              <w:t>6</w:t>
            </w:r>
          </w:p>
        </w:tc>
        <w:tc>
          <w:tcPr>
            <w:tcW w:w="6279"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rPr>
                <w:rFonts w:ascii="仿宋" w:eastAsia="仿宋" w:hAnsi="仿宋"/>
                <w:sz w:val="28"/>
                <w:szCs w:val="28"/>
              </w:rPr>
            </w:pPr>
            <w:r>
              <w:rPr>
                <w:rFonts w:ascii="仿宋" w:eastAsia="仿宋" w:hAnsi="仿宋" w:hint="eastAsia"/>
                <w:sz w:val="28"/>
                <w:szCs w:val="28"/>
              </w:rPr>
              <w:t>提供诚信响应承诺书，信誉得分6</w:t>
            </w:r>
            <w:r>
              <w:rPr>
                <w:rFonts w:ascii="仿宋" w:eastAsia="仿宋" w:hAnsi="仿宋"/>
                <w:sz w:val="28"/>
                <w:szCs w:val="28"/>
              </w:rPr>
              <w:t>分。</w:t>
            </w:r>
          </w:p>
          <w:p w:rsidR="00D714DC" w:rsidRDefault="00D714DC" w:rsidP="00181860">
            <w:pPr>
              <w:widowControl/>
              <w:rPr>
                <w:rFonts w:ascii="仿宋" w:eastAsia="仿宋" w:hAnsi="仿宋"/>
                <w:sz w:val="28"/>
                <w:szCs w:val="28"/>
              </w:rPr>
            </w:pPr>
            <w:r>
              <w:rPr>
                <w:rFonts w:ascii="仿宋" w:eastAsia="仿宋" w:hAnsi="仿宋" w:hint="eastAsia"/>
                <w:sz w:val="28"/>
                <w:szCs w:val="28"/>
              </w:rPr>
              <w:t>没有提供诚信响应承诺书，信誉分整项得</w:t>
            </w:r>
            <w:r>
              <w:rPr>
                <w:rFonts w:ascii="仿宋" w:eastAsia="仿宋" w:hAnsi="仿宋"/>
                <w:sz w:val="28"/>
                <w:szCs w:val="28"/>
              </w:rPr>
              <w:t>0分。</w:t>
            </w:r>
          </w:p>
        </w:tc>
      </w:tr>
      <w:tr w:rsidR="00D714DC" w:rsidTr="00181860">
        <w:trPr>
          <w:trHeight w:val="5356"/>
          <w:jc w:val="center"/>
        </w:trPr>
        <w:tc>
          <w:tcPr>
            <w:tcW w:w="725" w:type="dxa"/>
            <w:vMerge w:val="restart"/>
            <w:tcBorders>
              <w:top w:val="single" w:sz="4" w:space="0" w:color="auto"/>
              <w:left w:val="single" w:sz="4" w:space="0" w:color="auto"/>
              <w:right w:val="single" w:sz="4" w:space="0" w:color="auto"/>
            </w:tcBorders>
            <w:vAlign w:val="center"/>
          </w:tcPr>
          <w:p w:rsidR="00D714DC" w:rsidRDefault="00D714DC" w:rsidP="00181860">
            <w:pPr>
              <w:widowControl/>
              <w:jc w:val="center"/>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技术部分</w:t>
            </w:r>
          </w:p>
        </w:tc>
        <w:tc>
          <w:tcPr>
            <w:tcW w:w="1586" w:type="dxa"/>
            <w:tcBorders>
              <w:top w:val="single" w:sz="4" w:space="0" w:color="auto"/>
              <w:left w:val="single" w:sz="4" w:space="0" w:color="auto"/>
              <w:right w:val="single" w:sz="4" w:space="0" w:color="auto"/>
            </w:tcBorders>
            <w:vAlign w:val="center"/>
          </w:tcPr>
          <w:p w:rsidR="00D714DC" w:rsidRDefault="00D714DC" w:rsidP="00181860">
            <w:pPr>
              <w:rPr>
                <w:rFonts w:ascii="仿宋" w:eastAsia="仿宋" w:hAnsi="仿宋" w:hint="eastAsia"/>
                <w:kern w:val="0"/>
                <w:sz w:val="28"/>
                <w:szCs w:val="28"/>
              </w:rPr>
            </w:pPr>
            <w:r>
              <w:rPr>
                <w:rFonts w:ascii="仿宋" w:eastAsia="仿宋" w:hAnsi="仿宋" w:hint="eastAsia"/>
                <w:kern w:val="0"/>
                <w:sz w:val="28"/>
                <w:szCs w:val="28"/>
              </w:rPr>
              <w:t>项目实施方案</w:t>
            </w:r>
          </w:p>
        </w:tc>
        <w:tc>
          <w:tcPr>
            <w:tcW w:w="767" w:type="dxa"/>
            <w:tcBorders>
              <w:top w:val="single" w:sz="4" w:space="0" w:color="auto"/>
              <w:left w:val="single" w:sz="4" w:space="0" w:color="auto"/>
              <w:right w:val="single" w:sz="4" w:space="0" w:color="auto"/>
            </w:tcBorders>
            <w:vAlign w:val="center"/>
          </w:tcPr>
          <w:p w:rsidR="00D714DC" w:rsidRDefault="00D714DC" w:rsidP="00181860">
            <w:pPr>
              <w:jc w:val="center"/>
              <w:rPr>
                <w:rFonts w:ascii="仿宋" w:eastAsia="仿宋" w:hAnsi="仿宋"/>
                <w:kern w:val="0"/>
                <w:sz w:val="28"/>
                <w:szCs w:val="28"/>
              </w:rPr>
            </w:pPr>
            <w:r>
              <w:rPr>
                <w:rFonts w:ascii="仿宋" w:eastAsia="仿宋" w:hAnsi="仿宋" w:cs="仿宋" w:hint="eastAsia"/>
                <w:kern w:val="0"/>
                <w:sz w:val="28"/>
                <w:szCs w:val="28"/>
              </w:rPr>
              <w:t>20</w:t>
            </w:r>
          </w:p>
        </w:tc>
        <w:tc>
          <w:tcPr>
            <w:tcW w:w="6279" w:type="dxa"/>
            <w:tcBorders>
              <w:top w:val="single" w:sz="4" w:space="0" w:color="auto"/>
              <w:left w:val="single" w:sz="4" w:space="0" w:color="auto"/>
              <w:right w:val="single" w:sz="4" w:space="0" w:color="auto"/>
            </w:tcBorders>
            <w:vAlign w:val="center"/>
          </w:tcPr>
          <w:p w:rsidR="00D714DC" w:rsidRDefault="00D714DC" w:rsidP="00181860">
            <w:pPr>
              <w:widowControl/>
              <w:rPr>
                <w:rFonts w:ascii="仿宋" w:eastAsia="仿宋" w:hAnsi="仿宋"/>
                <w:kern w:val="0"/>
                <w:sz w:val="28"/>
                <w:szCs w:val="28"/>
              </w:rPr>
            </w:pPr>
            <w:r>
              <w:rPr>
                <w:rFonts w:ascii="仿宋" w:eastAsia="仿宋" w:hAnsi="仿宋" w:hint="eastAsia"/>
                <w:kern w:val="0"/>
                <w:sz w:val="28"/>
                <w:szCs w:val="28"/>
              </w:rPr>
              <w:t>根据供应商针对本项目需求制定的环境管理服务方案进行综合评审，包括但不限于</w:t>
            </w:r>
            <w:r>
              <w:rPr>
                <w:rFonts w:ascii="仿宋" w:eastAsia="仿宋" w:hAnsi="仿宋" w:cs="仿宋" w:hint="eastAsia"/>
                <w:sz w:val="28"/>
                <w:szCs w:val="28"/>
              </w:rPr>
              <w:t>检测内容</w:t>
            </w:r>
            <w:r>
              <w:rPr>
                <w:rFonts w:ascii="仿宋" w:eastAsia="仿宋" w:hAnsi="仿宋" w:hint="eastAsia"/>
                <w:kern w:val="0"/>
                <w:sz w:val="28"/>
                <w:szCs w:val="28"/>
              </w:rPr>
              <w:t>、</w:t>
            </w:r>
            <w:r>
              <w:rPr>
                <w:rFonts w:ascii="仿宋" w:eastAsia="仿宋" w:hAnsi="仿宋" w:cs="仿宋" w:hint="eastAsia"/>
                <w:sz w:val="28"/>
                <w:szCs w:val="28"/>
              </w:rPr>
              <w:t>执行标准</w:t>
            </w:r>
            <w:r>
              <w:rPr>
                <w:rFonts w:ascii="仿宋" w:eastAsia="仿宋" w:hAnsi="仿宋" w:hint="eastAsia"/>
                <w:kern w:val="0"/>
                <w:sz w:val="28"/>
                <w:szCs w:val="28"/>
              </w:rPr>
              <w:t>、人员、</w:t>
            </w:r>
            <w:r>
              <w:rPr>
                <w:rFonts w:ascii="仿宋" w:eastAsia="仿宋" w:hAnsi="仿宋" w:cs="仿宋" w:hint="eastAsia"/>
                <w:sz w:val="28"/>
                <w:szCs w:val="28"/>
              </w:rPr>
              <w:t>工期、质量等内容</w:t>
            </w:r>
            <w:r>
              <w:rPr>
                <w:rFonts w:ascii="仿宋" w:eastAsia="仿宋" w:hAnsi="仿宋" w:hint="eastAsia"/>
                <w:kern w:val="0"/>
                <w:sz w:val="28"/>
                <w:szCs w:val="28"/>
              </w:rPr>
              <w:t xml:space="preserve">。 </w:t>
            </w:r>
          </w:p>
          <w:p w:rsidR="00D714DC" w:rsidRDefault="00D714DC" w:rsidP="00181860">
            <w:pPr>
              <w:widowControl/>
              <w:rPr>
                <w:rFonts w:ascii="仿宋" w:eastAsia="仿宋" w:hAnsi="仿宋"/>
                <w:kern w:val="0"/>
                <w:sz w:val="28"/>
                <w:szCs w:val="28"/>
              </w:rPr>
            </w:pPr>
            <w:r>
              <w:rPr>
                <w:rFonts w:ascii="仿宋" w:eastAsia="仿宋" w:hAnsi="仿宋" w:hint="eastAsia"/>
                <w:kern w:val="0"/>
                <w:sz w:val="28"/>
                <w:szCs w:val="28"/>
              </w:rPr>
              <w:t xml:space="preserve">1.总体实施方案内容全面详细，服务内容对本项目有很多的实际指导意义或优化效果，服务人员稳定性好，现场响应便捷性高，具备完整的质量控制措施及完备的特殊情况处理措施，可操作性强，优于采购需求，得20分； </w:t>
            </w:r>
          </w:p>
          <w:p w:rsidR="00D714DC" w:rsidRDefault="00D714DC" w:rsidP="00181860">
            <w:pPr>
              <w:widowControl/>
              <w:rPr>
                <w:rFonts w:ascii="仿宋" w:eastAsia="仿宋" w:hAnsi="仿宋"/>
                <w:kern w:val="0"/>
                <w:sz w:val="28"/>
                <w:szCs w:val="28"/>
              </w:rPr>
            </w:pPr>
            <w:r>
              <w:rPr>
                <w:rFonts w:ascii="仿宋" w:eastAsia="仿宋" w:hAnsi="仿宋" w:hint="eastAsia"/>
                <w:kern w:val="0"/>
                <w:sz w:val="28"/>
                <w:szCs w:val="28"/>
              </w:rPr>
              <w:t xml:space="preserve">2.总体实施方案内容全面详细，服务内容对本项目有较多的实际指导意义或优化效果，服务人员稳定性好，现场响应便捷性较高，具备较完整的质量控制措施及完备的特殊情况处理措施，可操作性较强，满足采购需求，得12分； </w:t>
            </w:r>
          </w:p>
          <w:p w:rsidR="00D714DC" w:rsidRDefault="00D714DC" w:rsidP="00181860">
            <w:pPr>
              <w:widowControl/>
              <w:rPr>
                <w:rFonts w:ascii="仿宋" w:eastAsia="仿宋" w:hAnsi="仿宋"/>
                <w:kern w:val="0"/>
                <w:sz w:val="28"/>
                <w:szCs w:val="28"/>
              </w:rPr>
            </w:pPr>
            <w:r>
              <w:rPr>
                <w:rFonts w:ascii="仿宋" w:eastAsia="仿宋" w:hAnsi="仿宋" w:hint="eastAsia"/>
                <w:kern w:val="0"/>
                <w:sz w:val="28"/>
                <w:szCs w:val="28"/>
              </w:rPr>
              <w:t>3.总体实施方案内容有缺漏，服务内容对本项目具</w:t>
            </w:r>
            <w:r>
              <w:rPr>
                <w:rFonts w:ascii="仿宋" w:eastAsia="仿宋" w:hAnsi="仿宋" w:hint="eastAsia"/>
                <w:kern w:val="0"/>
                <w:sz w:val="28"/>
                <w:szCs w:val="28"/>
              </w:rPr>
              <w:lastRenderedPageBreak/>
              <w:t xml:space="preserve">有一定的指导意义或优化效果，服务人员较为稳定，现场响应便捷性一般，质量控制措施及特殊情况处理措施一般，可操作性一般，得6分； </w:t>
            </w:r>
          </w:p>
          <w:p w:rsidR="00D714DC" w:rsidRDefault="00D714DC" w:rsidP="00181860">
            <w:pPr>
              <w:widowControl/>
              <w:rPr>
                <w:rFonts w:ascii="仿宋" w:eastAsia="仿宋" w:hAnsi="仿宋"/>
                <w:kern w:val="0"/>
                <w:sz w:val="28"/>
                <w:szCs w:val="28"/>
              </w:rPr>
            </w:pPr>
            <w:r>
              <w:rPr>
                <w:rFonts w:ascii="仿宋" w:eastAsia="仿宋" w:hAnsi="仿宋" w:hint="eastAsia"/>
                <w:kern w:val="0"/>
                <w:sz w:val="28"/>
                <w:szCs w:val="28"/>
              </w:rPr>
              <w:t>4.提供了总体实施方案，但内容缺漏较多或可行性不高等可能不利于项目实施的情况，得1分；</w:t>
            </w:r>
          </w:p>
          <w:p w:rsidR="00D714DC" w:rsidRDefault="00D714DC" w:rsidP="00181860">
            <w:pPr>
              <w:widowControl/>
              <w:rPr>
                <w:rFonts w:ascii="仿宋" w:eastAsia="仿宋" w:hAnsi="仿宋"/>
                <w:kern w:val="0"/>
                <w:sz w:val="28"/>
                <w:szCs w:val="28"/>
              </w:rPr>
            </w:pPr>
            <w:r>
              <w:rPr>
                <w:rFonts w:ascii="仿宋" w:eastAsia="仿宋" w:hAnsi="仿宋" w:hint="eastAsia"/>
                <w:kern w:val="0"/>
                <w:sz w:val="28"/>
                <w:szCs w:val="28"/>
              </w:rPr>
              <w:t>5.未提供环境管理服务方案的不得分。</w:t>
            </w:r>
          </w:p>
        </w:tc>
      </w:tr>
      <w:tr w:rsidR="00D714DC" w:rsidTr="00181860">
        <w:trPr>
          <w:trHeight w:val="1389"/>
          <w:jc w:val="center"/>
        </w:trPr>
        <w:tc>
          <w:tcPr>
            <w:tcW w:w="725" w:type="dxa"/>
            <w:vMerge/>
            <w:tcBorders>
              <w:left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p>
        </w:tc>
        <w:tc>
          <w:tcPr>
            <w:tcW w:w="1586" w:type="dxa"/>
            <w:tcBorders>
              <w:top w:val="single" w:sz="4" w:space="0" w:color="auto"/>
              <w:left w:val="single" w:sz="4" w:space="0" w:color="auto"/>
              <w:right w:val="single" w:sz="4" w:space="0" w:color="auto"/>
            </w:tcBorders>
            <w:vAlign w:val="center"/>
          </w:tcPr>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水处理异常问题及处置方案</w:t>
            </w:r>
          </w:p>
        </w:tc>
        <w:tc>
          <w:tcPr>
            <w:tcW w:w="767" w:type="dxa"/>
            <w:tcBorders>
              <w:top w:val="single" w:sz="4" w:space="0" w:color="auto"/>
              <w:left w:val="single" w:sz="4" w:space="0" w:color="auto"/>
              <w:right w:val="single" w:sz="4" w:space="0" w:color="auto"/>
            </w:tcBorders>
            <w:vAlign w:val="center"/>
          </w:tcPr>
          <w:p w:rsidR="00D714DC" w:rsidRDefault="00D714DC" w:rsidP="00181860">
            <w:pPr>
              <w:jc w:val="center"/>
              <w:rPr>
                <w:rFonts w:ascii="仿宋" w:eastAsia="仿宋" w:hAnsi="仿宋" w:cs="仿宋"/>
                <w:kern w:val="0"/>
                <w:sz w:val="28"/>
                <w:szCs w:val="28"/>
              </w:rPr>
            </w:pPr>
            <w:r>
              <w:rPr>
                <w:rFonts w:ascii="仿宋" w:eastAsia="仿宋" w:hAnsi="仿宋" w:cs="仿宋" w:hint="eastAsia"/>
                <w:kern w:val="0"/>
                <w:sz w:val="28"/>
                <w:szCs w:val="28"/>
              </w:rPr>
              <w:t>20</w:t>
            </w:r>
          </w:p>
        </w:tc>
        <w:tc>
          <w:tcPr>
            <w:tcW w:w="6279" w:type="dxa"/>
            <w:tcBorders>
              <w:top w:val="single" w:sz="4" w:space="0" w:color="auto"/>
              <w:left w:val="single" w:sz="4" w:space="0" w:color="auto"/>
              <w:right w:val="single" w:sz="4" w:space="0" w:color="auto"/>
            </w:tcBorders>
            <w:vAlign w:val="center"/>
          </w:tcPr>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对投标人提供的运维服务中可能出现的水处理异常问题及针对性处置方案（包括但不限于进水和出水量异常、水质异常处理等）进行综合评分： 1</w:t>
            </w:r>
            <w:r>
              <w:rPr>
                <w:rFonts w:ascii="仿宋" w:eastAsia="仿宋" w:hAnsi="仿宋" w:cs="仿宋"/>
                <w:kern w:val="0"/>
                <w:sz w:val="28"/>
                <w:szCs w:val="28"/>
              </w:rPr>
              <w:t>.</w:t>
            </w:r>
            <w:r>
              <w:rPr>
                <w:rFonts w:ascii="仿宋" w:eastAsia="仿宋" w:hAnsi="仿宋" w:cs="仿宋" w:hint="eastAsia"/>
                <w:kern w:val="0"/>
                <w:sz w:val="28"/>
                <w:szCs w:val="28"/>
              </w:rPr>
              <w:t>运维服务中水处理异常问题描述的具体、全面，处置方案清晰、合理、</w:t>
            </w:r>
          </w:p>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可行、能很好满足项目运作需求，得20分 ；</w:t>
            </w:r>
          </w:p>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2.运维服务中水处理异常问题描述的内容较为具体、全面，处置方案清晰性、合理性、可行性较好、能较好满足项目运作需求，得12分；</w:t>
            </w:r>
          </w:p>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 xml:space="preserve">3.运维服务中水处理异常问题描述的内容简单，处置方案清晰性、合理性、可行性较差、基本满足项目运作需求，得6分； </w:t>
            </w:r>
          </w:p>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4.运维服务中水处理异常问题描述的内容差、运维</w:t>
            </w:r>
            <w:r>
              <w:rPr>
                <w:rFonts w:ascii="仿宋" w:eastAsia="仿宋" w:hAnsi="仿宋" w:cs="仿宋" w:hint="eastAsia"/>
                <w:kern w:val="0"/>
                <w:sz w:val="28"/>
                <w:szCs w:val="28"/>
              </w:rPr>
              <w:lastRenderedPageBreak/>
              <w:t>管理制度方案清晰性、合理性、可行性差、不能满足项目运作需求，得1分。</w:t>
            </w:r>
          </w:p>
          <w:p w:rsidR="00D714DC" w:rsidRDefault="00D714DC" w:rsidP="00181860">
            <w:pPr>
              <w:jc w:val="left"/>
              <w:rPr>
                <w:rFonts w:ascii="仿宋" w:eastAsia="仿宋" w:hAnsi="仿宋" w:cs="仿宋"/>
                <w:kern w:val="0"/>
                <w:sz w:val="28"/>
                <w:szCs w:val="28"/>
              </w:rPr>
            </w:pPr>
            <w:r>
              <w:rPr>
                <w:rFonts w:ascii="仿宋" w:eastAsia="仿宋" w:hAnsi="仿宋" w:cs="仿宋" w:hint="eastAsia"/>
                <w:kern w:val="0"/>
                <w:sz w:val="28"/>
                <w:szCs w:val="28"/>
              </w:rPr>
              <w:t>5.未提供方案不得分。</w:t>
            </w:r>
          </w:p>
        </w:tc>
      </w:tr>
      <w:tr w:rsidR="00D714DC" w:rsidTr="00181860">
        <w:trPr>
          <w:trHeight w:val="1857"/>
          <w:jc w:val="center"/>
        </w:trPr>
        <w:tc>
          <w:tcPr>
            <w:tcW w:w="725" w:type="dxa"/>
            <w:vMerge/>
            <w:tcBorders>
              <w:left w:val="single" w:sz="4" w:space="0" w:color="auto"/>
              <w:right w:val="single" w:sz="4" w:space="0" w:color="auto"/>
            </w:tcBorders>
            <w:vAlign w:val="center"/>
          </w:tcPr>
          <w:p w:rsidR="00D714DC" w:rsidRDefault="00D714DC" w:rsidP="00181860">
            <w:pPr>
              <w:rPr>
                <w:rFonts w:ascii="仿宋" w:eastAsia="仿宋" w:hAnsi="仿宋" w:cs="仿宋"/>
                <w:color w:val="000000"/>
                <w:sz w:val="28"/>
                <w:szCs w:val="28"/>
              </w:rPr>
            </w:pPr>
          </w:p>
        </w:tc>
        <w:tc>
          <w:tcPr>
            <w:tcW w:w="1586" w:type="dxa"/>
            <w:tcBorders>
              <w:top w:val="single" w:sz="4" w:space="0" w:color="auto"/>
              <w:left w:val="single" w:sz="4" w:space="0" w:color="auto"/>
              <w:right w:val="single" w:sz="4" w:space="0" w:color="auto"/>
            </w:tcBorders>
            <w:vAlign w:val="center"/>
          </w:tcPr>
          <w:p w:rsidR="00D714DC" w:rsidRDefault="00D714DC" w:rsidP="00181860">
            <w:pPr>
              <w:jc w:val="center"/>
              <w:rPr>
                <w:rFonts w:ascii="仿宋" w:eastAsia="仿宋" w:hAnsi="仿宋" w:cs="仿宋" w:hint="eastAsia"/>
                <w:kern w:val="0"/>
                <w:sz w:val="28"/>
                <w:szCs w:val="28"/>
              </w:rPr>
            </w:pPr>
            <w:r>
              <w:rPr>
                <w:rFonts w:ascii="仿宋" w:eastAsia="仿宋" w:hAnsi="仿宋" w:cs="仿宋" w:hint="eastAsia"/>
                <w:kern w:val="0"/>
                <w:sz w:val="28"/>
                <w:szCs w:val="28"/>
              </w:rPr>
              <w:t>公司实力</w:t>
            </w:r>
          </w:p>
        </w:tc>
        <w:tc>
          <w:tcPr>
            <w:tcW w:w="767" w:type="dxa"/>
            <w:tcBorders>
              <w:top w:val="single" w:sz="4" w:space="0" w:color="auto"/>
              <w:left w:val="single" w:sz="4" w:space="0" w:color="auto"/>
              <w:right w:val="single" w:sz="4" w:space="0" w:color="auto"/>
            </w:tcBorders>
            <w:vAlign w:val="center"/>
          </w:tcPr>
          <w:p w:rsidR="00D714DC" w:rsidRDefault="00D714DC" w:rsidP="00181860">
            <w:pPr>
              <w:jc w:val="center"/>
              <w:rPr>
                <w:rFonts w:ascii="仿宋" w:eastAsia="仿宋" w:hAnsi="仿宋" w:cs="仿宋" w:hint="eastAsia"/>
                <w:kern w:val="0"/>
                <w:sz w:val="28"/>
                <w:szCs w:val="28"/>
              </w:rPr>
            </w:pPr>
            <w:r>
              <w:rPr>
                <w:rFonts w:ascii="仿宋" w:eastAsia="仿宋" w:hAnsi="仿宋" w:cs="仿宋" w:hint="eastAsia"/>
                <w:kern w:val="0"/>
                <w:sz w:val="28"/>
                <w:szCs w:val="28"/>
              </w:rPr>
              <w:t>6</w:t>
            </w:r>
          </w:p>
        </w:tc>
        <w:tc>
          <w:tcPr>
            <w:tcW w:w="6279" w:type="dxa"/>
            <w:tcBorders>
              <w:top w:val="single" w:sz="4" w:space="0" w:color="auto"/>
              <w:left w:val="single" w:sz="4" w:space="0" w:color="auto"/>
              <w:right w:val="single" w:sz="4" w:space="0" w:color="auto"/>
            </w:tcBorders>
            <w:vAlign w:val="center"/>
          </w:tcPr>
          <w:p w:rsidR="00D714DC" w:rsidRDefault="00D714DC" w:rsidP="00181860">
            <w:pPr>
              <w:rPr>
                <w:rFonts w:ascii="仿宋" w:eastAsia="仿宋" w:hAnsi="仿宋" w:cs="仿宋" w:hint="eastAsia"/>
                <w:kern w:val="0"/>
                <w:sz w:val="28"/>
                <w:szCs w:val="28"/>
              </w:rPr>
            </w:pPr>
            <w:r>
              <w:rPr>
                <w:rFonts w:ascii="仿宋" w:eastAsia="仿宋" w:hAnsi="仿宋" w:cs="仿宋" w:hint="eastAsia"/>
                <w:kern w:val="0"/>
                <w:sz w:val="28"/>
                <w:szCs w:val="28"/>
              </w:rPr>
              <w:t>投标人具有有效期内国家认证认可的监督管理部门批准设立的认证机构颁发的质量管理体系认证证书、环境管理体系认证证书、职业健康安全管理体系认证证书的，每个得2分，最高得6分。</w:t>
            </w:r>
          </w:p>
          <w:p w:rsidR="00D714DC" w:rsidRDefault="00D714DC" w:rsidP="00181860">
            <w:pPr>
              <w:rPr>
                <w:rFonts w:ascii="仿宋" w:eastAsia="仿宋" w:hAnsi="仿宋" w:cs="仿宋"/>
                <w:kern w:val="0"/>
                <w:sz w:val="28"/>
                <w:szCs w:val="28"/>
              </w:rPr>
            </w:pPr>
            <w:r>
              <w:rPr>
                <w:rFonts w:ascii="仿宋" w:eastAsia="仿宋" w:hAnsi="仿宋" w:cs="仿宋" w:hint="eastAsia"/>
                <w:kern w:val="0"/>
                <w:sz w:val="28"/>
                <w:szCs w:val="28"/>
              </w:rPr>
              <w:t>（须提供上述有效证书复印件加盖投标人公章）</w:t>
            </w:r>
          </w:p>
        </w:tc>
      </w:tr>
      <w:tr w:rsidR="00D714DC" w:rsidTr="00181860">
        <w:trPr>
          <w:trHeight w:val="1356"/>
          <w:jc w:val="center"/>
        </w:trPr>
        <w:tc>
          <w:tcPr>
            <w:tcW w:w="725" w:type="dxa"/>
            <w:vMerge/>
            <w:tcBorders>
              <w:left w:val="single" w:sz="4" w:space="0" w:color="auto"/>
              <w:right w:val="single" w:sz="4" w:space="0" w:color="auto"/>
            </w:tcBorders>
            <w:vAlign w:val="center"/>
          </w:tcPr>
          <w:p w:rsidR="00D714DC" w:rsidRDefault="00D714DC" w:rsidP="00181860">
            <w:pPr>
              <w:widowControl/>
              <w:rPr>
                <w:rFonts w:ascii="仿宋" w:eastAsia="仿宋" w:hAnsi="仿宋" w:cs="仿宋"/>
                <w:color w:val="000000"/>
                <w:sz w:val="28"/>
                <w:szCs w:val="28"/>
              </w:rPr>
            </w:pPr>
          </w:p>
        </w:tc>
        <w:tc>
          <w:tcPr>
            <w:tcW w:w="1586" w:type="dxa"/>
            <w:tcBorders>
              <w:top w:val="single" w:sz="4" w:space="0" w:color="auto"/>
              <w:left w:val="single" w:sz="4" w:space="0" w:color="auto"/>
              <w:right w:val="single" w:sz="4" w:space="0" w:color="auto"/>
            </w:tcBorders>
            <w:vAlign w:val="center"/>
          </w:tcPr>
          <w:p w:rsidR="00D714DC" w:rsidRDefault="00D714DC" w:rsidP="00181860">
            <w:pPr>
              <w:jc w:val="center"/>
              <w:rPr>
                <w:rFonts w:ascii="仿宋" w:eastAsia="仿宋" w:hAnsi="仿宋" w:cs="仿宋"/>
                <w:color w:val="000000"/>
                <w:sz w:val="28"/>
                <w:szCs w:val="28"/>
              </w:rPr>
            </w:pPr>
            <w:r>
              <w:rPr>
                <w:rFonts w:ascii="仿宋" w:eastAsia="仿宋" w:hAnsi="仿宋" w:cs="仿宋" w:hint="eastAsia"/>
                <w:color w:val="000000"/>
                <w:kern w:val="0"/>
                <w:sz w:val="28"/>
                <w:szCs w:val="28"/>
              </w:rPr>
              <w:t>同类业绩</w:t>
            </w:r>
          </w:p>
        </w:tc>
        <w:tc>
          <w:tcPr>
            <w:tcW w:w="767" w:type="dxa"/>
            <w:tcBorders>
              <w:top w:val="single" w:sz="4" w:space="0" w:color="auto"/>
              <w:left w:val="single" w:sz="4" w:space="0" w:color="auto"/>
              <w:right w:val="single" w:sz="4" w:space="0" w:color="auto"/>
            </w:tcBorders>
            <w:vAlign w:val="center"/>
          </w:tcPr>
          <w:p w:rsidR="00D714DC" w:rsidRDefault="00D714DC" w:rsidP="00181860">
            <w:pPr>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18</w:t>
            </w:r>
          </w:p>
        </w:tc>
        <w:tc>
          <w:tcPr>
            <w:tcW w:w="6279" w:type="dxa"/>
            <w:tcBorders>
              <w:top w:val="single" w:sz="4" w:space="0" w:color="auto"/>
              <w:left w:val="single" w:sz="4" w:space="0" w:color="auto"/>
              <w:right w:val="single" w:sz="4" w:space="0" w:color="auto"/>
            </w:tcBorders>
            <w:vAlign w:val="center"/>
          </w:tcPr>
          <w:p w:rsidR="00D714DC" w:rsidRDefault="00D714DC" w:rsidP="00181860">
            <w:pPr>
              <w:rPr>
                <w:rFonts w:ascii="仿宋" w:eastAsia="仿宋" w:hAnsi="仿宋" w:cs="仿宋"/>
                <w:color w:val="000000"/>
                <w:kern w:val="0"/>
                <w:sz w:val="28"/>
                <w:szCs w:val="28"/>
              </w:rPr>
            </w:pPr>
            <w:r>
              <w:rPr>
                <w:rFonts w:ascii="仿宋" w:eastAsia="仿宋" w:hAnsi="仿宋" w:cs="仿宋" w:hint="eastAsia"/>
                <w:color w:val="000000"/>
                <w:kern w:val="0"/>
                <w:sz w:val="28"/>
                <w:szCs w:val="28"/>
              </w:rPr>
              <w:t>供应商自2022年1月1日至今污水处理类相关项目业绩进行评审，</w:t>
            </w:r>
            <w:bookmarkStart w:id="1" w:name="OLE_LINK19"/>
            <w:bookmarkStart w:id="2" w:name="OLE_LINK20"/>
            <w:r>
              <w:rPr>
                <w:rFonts w:ascii="仿宋" w:eastAsia="仿宋" w:hAnsi="仿宋" w:cs="仿宋" w:hint="eastAsia"/>
                <w:color w:val="000000"/>
                <w:kern w:val="0"/>
                <w:sz w:val="28"/>
                <w:szCs w:val="28"/>
              </w:rPr>
              <w:t>每提供一个医院类运维项目</w:t>
            </w:r>
            <w:bookmarkEnd w:id="1"/>
            <w:bookmarkEnd w:id="2"/>
            <w:r>
              <w:rPr>
                <w:rFonts w:ascii="仿宋" w:eastAsia="仿宋" w:hAnsi="仿宋" w:cs="仿宋" w:hint="eastAsia"/>
                <w:color w:val="000000"/>
                <w:kern w:val="0"/>
                <w:sz w:val="28"/>
                <w:szCs w:val="28"/>
              </w:rPr>
              <w:t>得3分，其他非医院类运维项目每提供一个得2分，</w:t>
            </w:r>
            <w:bookmarkStart w:id="3" w:name="OLE_LINK5"/>
            <w:bookmarkStart w:id="4" w:name="OLE_LINK6"/>
            <w:r>
              <w:rPr>
                <w:rFonts w:ascii="仿宋" w:eastAsia="仿宋" w:hAnsi="仿宋" w:cs="仿宋" w:hint="eastAsia"/>
                <w:color w:val="000000"/>
                <w:kern w:val="0"/>
                <w:sz w:val="28"/>
                <w:szCs w:val="28"/>
              </w:rPr>
              <w:t>如只有其他非医院类运维项目，最高得12分；提供医院类污水处理运维项目，每增加一个，得分上限增加3分，最高得18分。</w:t>
            </w:r>
            <w:bookmarkEnd w:id="3"/>
            <w:bookmarkEnd w:id="4"/>
            <w:r>
              <w:rPr>
                <w:rFonts w:ascii="仿宋" w:eastAsia="仿宋" w:hAnsi="仿宋" w:cs="仿宋" w:hint="eastAsia"/>
                <w:color w:val="000000"/>
                <w:kern w:val="0"/>
                <w:sz w:val="28"/>
                <w:szCs w:val="28"/>
              </w:rPr>
              <w:t>（供应商需提供中标（成交）通知书或合同复印件，合同可以复印合同的关键页面。需提供相关证明文件复印件并加盖公章，无提供不得分。）</w:t>
            </w:r>
          </w:p>
        </w:tc>
      </w:tr>
      <w:tr w:rsidR="00D714DC" w:rsidTr="00181860">
        <w:trPr>
          <w:trHeight w:val="841"/>
          <w:jc w:val="center"/>
        </w:trPr>
        <w:tc>
          <w:tcPr>
            <w:tcW w:w="725"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rPr>
                <w:rFonts w:ascii="仿宋" w:eastAsia="仿宋" w:hAnsi="仿宋" w:cs="仿宋"/>
                <w:color w:val="000000"/>
                <w:kern w:val="0"/>
                <w:sz w:val="28"/>
                <w:szCs w:val="28"/>
              </w:rPr>
            </w:pPr>
            <w:r>
              <w:rPr>
                <w:rFonts w:ascii="仿宋" w:eastAsia="仿宋" w:hAnsi="仿宋" w:cs="仿宋" w:hint="eastAsia"/>
                <w:color w:val="000000"/>
                <w:kern w:val="0"/>
                <w:sz w:val="28"/>
                <w:szCs w:val="28"/>
              </w:rPr>
              <w:t>价格</w:t>
            </w:r>
          </w:p>
        </w:tc>
        <w:tc>
          <w:tcPr>
            <w:tcW w:w="1586"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报价情况</w:t>
            </w:r>
          </w:p>
        </w:tc>
        <w:tc>
          <w:tcPr>
            <w:tcW w:w="767"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0</w:t>
            </w:r>
          </w:p>
        </w:tc>
        <w:tc>
          <w:tcPr>
            <w:tcW w:w="6279" w:type="dxa"/>
            <w:tcBorders>
              <w:top w:val="single" w:sz="4" w:space="0" w:color="auto"/>
              <w:left w:val="single" w:sz="4" w:space="0" w:color="auto"/>
              <w:bottom w:val="single" w:sz="4" w:space="0" w:color="auto"/>
              <w:right w:val="single" w:sz="4" w:space="0" w:color="auto"/>
            </w:tcBorders>
            <w:vAlign w:val="center"/>
          </w:tcPr>
          <w:p w:rsidR="00D714DC" w:rsidRDefault="00D714DC" w:rsidP="00181860">
            <w:pPr>
              <w:widowControl/>
              <w:jc w:val="center"/>
              <w:rPr>
                <w:rFonts w:ascii="仿宋" w:eastAsia="仿宋" w:hAnsi="仿宋" w:cs="仿宋"/>
                <w:color w:val="000000"/>
                <w:sz w:val="28"/>
                <w:szCs w:val="28"/>
              </w:rPr>
            </w:pPr>
            <w:r>
              <w:rPr>
                <w:rFonts w:ascii="仿宋" w:eastAsia="仿宋" w:hAnsi="仿宋" w:cs="仿宋" w:hint="eastAsia"/>
                <w:color w:val="000000"/>
                <w:sz w:val="28"/>
                <w:szCs w:val="28"/>
              </w:rPr>
              <w:t>报价得分=（基准价/响应报价）×价格权值×100（以最低报价为基准价）</w:t>
            </w:r>
          </w:p>
        </w:tc>
      </w:tr>
      <w:bookmarkEnd w:id="0"/>
    </w:tbl>
    <w:p w:rsidR="00752F95" w:rsidRPr="00D714DC" w:rsidRDefault="00752F95"/>
    <w:sectPr w:rsidR="00752F95" w:rsidRPr="00D714DC" w:rsidSect="00752F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E6FC0"/>
    <w:multiLevelType w:val="multilevel"/>
    <w:tmpl w:val="53BE6FC0"/>
    <w:lvl w:ilvl="0">
      <w:start w:val="1"/>
      <w:numFmt w:val="decimal"/>
      <w:lvlText w:val="%1. "/>
      <w:lvlJc w:val="left"/>
      <w:pPr>
        <w:tabs>
          <w:tab w:val="num" w:pos="839"/>
        </w:tabs>
        <w:ind w:left="839" w:hanging="419"/>
      </w:pPr>
      <w:rPr>
        <w:rFonts w:hint="eastAsia"/>
      </w:rPr>
    </w:lvl>
    <w:lvl w:ilvl="1">
      <w:start w:val="1"/>
      <w:numFmt w:val="upperLetter"/>
      <w:lvlText w:val="%2. "/>
      <w:lvlJc w:val="left"/>
      <w:pPr>
        <w:tabs>
          <w:tab w:val="num" w:pos="1049"/>
        </w:tabs>
        <w:ind w:left="1049" w:hanging="420"/>
      </w:pPr>
      <w:rPr>
        <w:rFonts w:hint="eastAsia"/>
      </w:rPr>
    </w:lvl>
    <w:lvl w:ilvl="2">
      <w:start w:val="1"/>
      <w:numFmt w:val="lowerLetter"/>
      <w:lvlText w:val="%3. "/>
      <w:lvlJc w:val="left"/>
      <w:pPr>
        <w:tabs>
          <w:tab w:val="num" w:pos="1259"/>
        </w:tabs>
        <w:ind w:left="1259" w:hanging="420"/>
      </w:pPr>
      <w:rPr>
        <w:rFonts w:hint="eastAsia"/>
      </w:rPr>
    </w:lvl>
    <w:lvl w:ilvl="3">
      <w:start w:val="1"/>
      <w:numFmt w:val="lowerLetter"/>
      <w:lvlText w:val="%4) "/>
      <w:lvlJc w:val="left"/>
      <w:pPr>
        <w:tabs>
          <w:tab w:val="num" w:pos="1469"/>
        </w:tabs>
        <w:ind w:left="1469" w:hanging="420"/>
      </w:pPr>
      <w:rPr>
        <w:rFonts w:hint="eastAsia"/>
      </w:rPr>
    </w:lvl>
    <w:lvl w:ilvl="4">
      <w:start w:val="1"/>
      <w:numFmt w:val="none"/>
      <w:suff w:val="nothing"/>
      <w:lvlText w:val=""/>
      <w:lvlJc w:val="left"/>
      <w:pPr>
        <w:ind w:left="1259" w:firstLine="0"/>
      </w:pPr>
      <w:rPr>
        <w:rFonts w:hint="eastAsia"/>
      </w:rPr>
    </w:lvl>
    <w:lvl w:ilvl="5">
      <w:start w:val="1"/>
      <w:numFmt w:val="none"/>
      <w:suff w:val="nothing"/>
      <w:lvlText w:val=""/>
      <w:lvlJc w:val="left"/>
      <w:pPr>
        <w:ind w:left="1259" w:firstLine="0"/>
      </w:pPr>
      <w:rPr>
        <w:rFonts w:hint="eastAsia"/>
      </w:rPr>
    </w:lvl>
    <w:lvl w:ilvl="6">
      <w:start w:val="1"/>
      <w:numFmt w:val="none"/>
      <w:suff w:val="nothing"/>
      <w:lvlText w:val=""/>
      <w:lvlJc w:val="left"/>
      <w:pPr>
        <w:ind w:left="1259" w:firstLine="0"/>
      </w:pPr>
      <w:rPr>
        <w:rFonts w:hint="eastAsia"/>
      </w:rPr>
    </w:lvl>
    <w:lvl w:ilvl="7">
      <w:start w:val="1"/>
      <w:numFmt w:val="none"/>
      <w:suff w:val="nothing"/>
      <w:lvlText w:val=""/>
      <w:lvlJc w:val="left"/>
      <w:pPr>
        <w:ind w:left="1259" w:firstLine="0"/>
      </w:pPr>
      <w:rPr>
        <w:rFonts w:hint="eastAsia"/>
      </w:rPr>
    </w:lvl>
    <w:lvl w:ilvl="8">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14DC"/>
    <w:rsid w:val="00752F95"/>
    <w:rsid w:val="00D71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714D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D714DC"/>
    <w:pPr>
      <w:spacing w:after="120"/>
    </w:pPr>
  </w:style>
  <w:style w:type="character" w:customStyle="1" w:styleId="Char">
    <w:name w:val="正文文本 Char"/>
    <w:basedOn w:val="a1"/>
    <w:link w:val="a0"/>
    <w:uiPriority w:val="99"/>
    <w:semiHidden/>
    <w:rsid w:val="00D714DC"/>
    <w:rPr>
      <w:rFonts w:ascii="Times New Roman" w:eastAsia="宋体" w:hAnsi="Times New Roman" w:cs="Times New Roman"/>
      <w:szCs w:val="24"/>
    </w:rPr>
  </w:style>
  <w:style w:type="paragraph" w:styleId="a4">
    <w:name w:val="Body Text First Indent"/>
    <w:basedOn w:val="a0"/>
    <w:link w:val="Char0"/>
    <w:qFormat/>
    <w:rsid w:val="00D714DC"/>
    <w:pPr>
      <w:numPr>
        <w:numId w:val="1"/>
      </w:numPr>
      <w:tabs>
        <w:tab w:val="left" w:pos="567"/>
        <w:tab w:val="left" w:pos="839"/>
      </w:tabs>
      <w:ind w:firstLineChars="100" w:firstLine="420"/>
    </w:pPr>
  </w:style>
  <w:style w:type="character" w:customStyle="1" w:styleId="Char0">
    <w:name w:val="正文首行缩进 Char"/>
    <w:basedOn w:val="Char"/>
    <w:link w:val="a4"/>
    <w:rsid w:val="00D714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2025-04-16T03:21:00Z</dcterms:created>
  <dcterms:modified xsi:type="dcterms:W3CDTF">2025-04-16T03:25:00Z</dcterms:modified>
</cp:coreProperties>
</file>